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BA7AFA" w14:textId="77777777" w:rsidR="00A4588A" w:rsidRDefault="00000000">
      <w:pPr>
        <w:spacing w:line="360" w:lineRule="auto"/>
        <w:jc w:val="center"/>
        <w:rPr>
          <w:rFonts w:ascii="宋体" w:eastAsia="宋体" w:hAnsi="宋体" w:cs="宋体" w:hint="eastAsia"/>
          <w:b/>
          <w:bCs/>
          <w:sz w:val="28"/>
          <w:szCs w:val="28"/>
        </w:rPr>
      </w:pPr>
      <w:r>
        <w:rPr>
          <w:rFonts w:ascii="宋体" w:eastAsia="宋体" w:hAnsi="宋体" w:cs="宋体" w:hint="eastAsia"/>
          <w:b/>
          <w:kern w:val="0"/>
          <w:sz w:val="28"/>
          <w:szCs w:val="28"/>
        </w:rPr>
        <w:t>山东好当家海洋发展股份有限公司</w:t>
      </w:r>
    </w:p>
    <w:p w14:paraId="06541A4B" w14:textId="77777777" w:rsidR="00A4588A" w:rsidRDefault="00000000">
      <w:pPr>
        <w:keepNext/>
        <w:keepLines/>
        <w:spacing w:line="360" w:lineRule="auto"/>
        <w:ind w:right="210"/>
        <w:jc w:val="center"/>
        <w:outlineLvl w:val="1"/>
        <w:rPr>
          <w:rFonts w:ascii="宋体" w:eastAsia="宋体" w:hAnsi="宋体" w:cs="宋体" w:hint="eastAsia"/>
          <w:b/>
          <w:bCs/>
          <w:sz w:val="28"/>
          <w:szCs w:val="28"/>
        </w:rPr>
      </w:pPr>
      <w:bookmarkStart w:id="0" w:name="_Toc19542"/>
      <w:bookmarkStart w:id="1" w:name="_Toc10577"/>
      <w:bookmarkStart w:id="2" w:name="_Toc28175"/>
      <w:bookmarkStart w:id="3" w:name="_Toc4753"/>
      <w:bookmarkStart w:id="4" w:name="_Toc5938"/>
      <w:bookmarkStart w:id="5" w:name="_Toc12437"/>
      <w:bookmarkStart w:id="6" w:name="_Toc791"/>
      <w:bookmarkStart w:id="7" w:name="_Toc1428"/>
      <w:bookmarkStart w:id="8" w:name="_Toc12265"/>
      <w:bookmarkStart w:id="9" w:name="_Toc26575"/>
      <w:r>
        <w:rPr>
          <w:rFonts w:ascii="宋体" w:eastAsia="宋体" w:hAnsi="宋体" w:cs="宋体" w:hint="eastAsia"/>
          <w:b/>
          <w:bCs/>
          <w:sz w:val="28"/>
          <w:szCs w:val="28"/>
        </w:rPr>
        <w:t>关联交易决策制度</w:t>
      </w:r>
      <w:bookmarkEnd w:id="0"/>
      <w:bookmarkEnd w:id="1"/>
      <w:bookmarkEnd w:id="2"/>
      <w:bookmarkEnd w:id="3"/>
      <w:bookmarkEnd w:id="4"/>
      <w:bookmarkEnd w:id="5"/>
      <w:bookmarkEnd w:id="6"/>
      <w:bookmarkEnd w:id="7"/>
      <w:bookmarkEnd w:id="8"/>
      <w:bookmarkEnd w:id="9"/>
    </w:p>
    <w:p w14:paraId="30825682" w14:textId="77777777" w:rsidR="00A4588A" w:rsidRDefault="00A4588A">
      <w:pPr>
        <w:rPr>
          <w:rFonts w:hint="eastAsia"/>
        </w:rPr>
      </w:pPr>
    </w:p>
    <w:p w14:paraId="4C27D4E9" w14:textId="77777777" w:rsidR="00A4588A" w:rsidRDefault="00000000">
      <w:pPr>
        <w:pStyle w:val="3"/>
      </w:pPr>
      <w:r>
        <w:rPr>
          <w:rFonts w:hint="eastAsia"/>
        </w:rPr>
        <w:t>第一章</w:t>
      </w:r>
      <w:r>
        <w:t xml:space="preserve"> </w:t>
      </w:r>
      <w:r>
        <w:t>总则</w:t>
      </w:r>
    </w:p>
    <w:p w14:paraId="47A2FDFE" w14:textId="77777777" w:rsidR="00A4588A" w:rsidRDefault="00000000">
      <w:pPr>
        <w:spacing w:line="360" w:lineRule="auto"/>
        <w:ind w:firstLineChars="200" w:firstLine="482"/>
        <w:rPr>
          <w:rFonts w:ascii="Times New Roman" w:eastAsia="宋体" w:hAnsi="Times New Roman" w:cs="Times New Roman"/>
          <w:sz w:val="24"/>
          <w:szCs w:val="24"/>
        </w:rPr>
      </w:pPr>
      <w:r>
        <w:rPr>
          <w:rFonts w:ascii="Times New Roman" w:eastAsia="宋体" w:hAnsi="Times New Roman" w:cs="Times New Roman"/>
          <w:b/>
          <w:sz w:val="24"/>
          <w:szCs w:val="24"/>
        </w:rPr>
        <w:t>第一条</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为规范</w:t>
      </w:r>
      <w:r>
        <w:rPr>
          <w:rFonts w:ascii="Times New Roman" w:eastAsia="宋体" w:hAnsi="Times New Roman" w:cs="Times New Roman" w:hint="eastAsia"/>
          <w:sz w:val="24"/>
          <w:szCs w:val="24"/>
        </w:rPr>
        <w:t>山东好当家海洋发展股份有限公司</w:t>
      </w:r>
      <w:r>
        <w:rPr>
          <w:rFonts w:ascii="Times New Roman" w:eastAsia="宋体" w:hAnsi="Times New Roman" w:cs="Times New Roman"/>
          <w:sz w:val="24"/>
          <w:szCs w:val="24"/>
        </w:rPr>
        <w:t>（以下简称</w:t>
      </w:r>
      <w:r>
        <w:rPr>
          <w:rFonts w:ascii="Times New Roman" w:eastAsia="宋体" w:hAnsi="Times New Roman" w:cs="Times New Roman" w:hint="eastAsia"/>
          <w:sz w:val="24"/>
          <w:szCs w:val="24"/>
        </w:rPr>
        <w:t>“</w:t>
      </w:r>
      <w:r>
        <w:rPr>
          <w:rFonts w:ascii="Times New Roman" w:eastAsia="宋体" w:hAnsi="Times New Roman" w:cs="Times New Roman"/>
          <w:sz w:val="24"/>
          <w:szCs w:val="24"/>
        </w:rPr>
        <w:t>公司</w:t>
      </w:r>
      <w:r>
        <w:rPr>
          <w:rFonts w:ascii="Times New Roman" w:eastAsia="宋体" w:hAnsi="Times New Roman" w:cs="Times New Roman" w:hint="eastAsia"/>
          <w:sz w:val="24"/>
          <w:szCs w:val="24"/>
        </w:rPr>
        <w:t>”</w:t>
      </w:r>
      <w:r>
        <w:rPr>
          <w:rFonts w:ascii="Times New Roman" w:eastAsia="宋体" w:hAnsi="Times New Roman" w:cs="Times New Roman"/>
          <w:sz w:val="24"/>
          <w:szCs w:val="24"/>
        </w:rPr>
        <w:t>）关联交易行为，提高公司规范运作水平，保护投资者的合法权益，根据《中华人民共和国公司法》（以下简称《公司法》）、《中华人民共和国证券法》（以下简称《证券法》）和《上市公司信息披露管理办法》等法律法规、部门规章、规范性文件，以及《</w:t>
      </w:r>
      <w:r>
        <w:rPr>
          <w:rFonts w:ascii="Times New Roman" w:eastAsia="宋体" w:hAnsi="Times New Roman" w:cs="Times New Roman" w:hint="eastAsia"/>
          <w:sz w:val="24"/>
          <w:szCs w:val="24"/>
        </w:rPr>
        <w:t>上海证券交易所</w:t>
      </w:r>
      <w:r>
        <w:rPr>
          <w:rFonts w:ascii="Times New Roman" w:eastAsia="宋体" w:hAnsi="Times New Roman" w:cs="Times New Roman"/>
          <w:sz w:val="24"/>
          <w:szCs w:val="24"/>
        </w:rPr>
        <w:t>股票上市规则》（以下简称《股票上市规则》）、《</w:t>
      </w:r>
      <w:r>
        <w:rPr>
          <w:rFonts w:ascii="Times New Roman" w:eastAsia="宋体" w:hAnsi="Times New Roman" w:cs="Times New Roman" w:hint="eastAsia"/>
          <w:sz w:val="24"/>
          <w:szCs w:val="24"/>
        </w:rPr>
        <w:t>上海证券交易所</w:t>
      </w:r>
      <w:r>
        <w:rPr>
          <w:rFonts w:ascii="Times New Roman" w:eastAsia="宋体" w:hAnsi="Times New Roman" w:cs="Times New Roman"/>
          <w:sz w:val="24"/>
          <w:szCs w:val="24"/>
        </w:rPr>
        <w:t>上市公司自律监管指引第</w:t>
      </w:r>
      <w:r>
        <w:rPr>
          <w:rFonts w:ascii="Times New Roman" w:eastAsia="宋体" w:hAnsi="Times New Roman" w:cs="Times New Roman"/>
          <w:sz w:val="24"/>
          <w:szCs w:val="24"/>
        </w:rPr>
        <w:t>7</w:t>
      </w:r>
      <w:r>
        <w:rPr>
          <w:rFonts w:ascii="Times New Roman" w:eastAsia="宋体" w:hAnsi="Times New Roman" w:cs="Times New Roman"/>
          <w:sz w:val="24"/>
          <w:szCs w:val="24"/>
        </w:rPr>
        <w:t>号</w:t>
      </w:r>
      <w:r>
        <w:rPr>
          <w:rFonts w:ascii="Times New Roman" w:eastAsia="宋体" w:hAnsi="Times New Roman" w:cs="Times New Roman"/>
          <w:sz w:val="24"/>
          <w:szCs w:val="24"/>
        </w:rPr>
        <w:t>-</w:t>
      </w:r>
      <w:r>
        <w:rPr>
          <w:rFonts w:ascii="Times New Roman" w:eastAsia="宋体" w:hAnsi="Times New Roman" w:cs="Times New Roman"/>
          <w:sz w:val="24"/>
          <w:szCs w:val="24"/>
        </w:rPr>
        <w:t>交易与关联交易》等业务规则，制定本制度。</w:t>
      </w:r>
    </w:p>
    <w:p w14:paraId="30F087BF" w14:textId="77777777" w:rsidR="00A4588A" w:rsidRDefault="00000000">
      <w:pPr>
        <w:spacing w:line="360" w:lineRule="auto"/>
        <w:ind w:firstLineChars="200" w:firstLine="482"/>
        <w:rPr>
          <w:rFonts w:ascii="Times New Roman" w:eastAsia="宋体" w:hAnsi="Times New Roman" w:cs="Times New Roman"/>
          <w:sz w:val="24"/>
          <w:szCs w:val="24"/>
        </w:rPr>
      </w:pPr>
      <w:r>
        <w:rPr>
          <w:rFonts w:ascii="Times New Roman" w:eastAsia="宋体" w:hAnsi="Times New Roman" w:cs="Times New Roman"/>
          <w:b/>
          <w:sz w:val="24"/>
          <w:szCs w:val="24"/>
        </w:rPr>
        <w:t>第二条</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公司进行关联交易，应当保证关联交易的合法合</w:t>
      </w:r>
      <w:proofErr w:type="gramStart"/>
      <w:r>
        <w:rPr>
          <w:rFonts w:ascii="Times New Roman" w:eastAsia="宋体" w:hAnsi="Times New Roman" w:cs="Times New Roman"/>
          <w:sz w:val="24"/>
          <w:szCs w:val="24"/>
        </w:rPr>
        <w:t>规</w:t>
      </w:r>
      <w:proofErr w:type="gramEnd"/>
      <w:r>
        <w:rPr>
          <w:rFonts w:ascii="Times New Roman" w:eastAsia="宋体" w:hAnsi="Times New Roman" w:cs="Times New Roman"/>
          <w:sz w:val="24"/>
          <w:szCs w:val="24"/>
        </w:rPr>
        <w:t>性、必要性和公允性，保持公司的独立性，不得利用关联交易调节财务指标，损害公司利益。交易各方不得隐瞒关联关系或者采取其他手段，规避公司的关联交易审议程序和信息披露义务。</w:t>
      </w:r>
    </w:p>
    <w:p w14:paraId="063355B1" w14:textId="77777777" w:rsidR="00A4588A" w:rsidRDefault="00000000">
      <w:pPr>
        <w:spacing w:line="360" w:lineRule="auto"/>
        <w:ind w:firstLineChars="200" w:firstLine="482"/>
        <w:rPr>
          <w:rFonts w:ascii="Times New Roman" w:eastAsia="宋体" w:hAnsi="Times New Roman" w:cs="Times New Roman"/>
          <w:sz w:val="24"/>
          <w:szCs w:val="24"/>
        </w:rPr>
      </w:pPr>
      <w:r>
        <w:rPr>
          <w:rFonts w:ascii="Times New Roman" w:eastAsia="宋体" w:hAnsi="Times New Roman" w:cs="Times New Roman"/>
          <w:b/>
          <w:sz w:val="24"/>
          <w:szCs w:val="24"/>
        </w:rPr>
        <w:t>第三条</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公司的控股子公司发生的关联交易，适用本制度的规定。</w:t>
      </w:r>
    </w:p>
    <w:p w14:paraId="6229FFC4" w14:textId="77777777" w:rsidR="00A4588A" w:rsidRDefault="00000000">
      <w:pPr>
        <w:pStyle w:val="3"/>
      </w:pPr>
      <w:r>
        <w:rPr>
          <w:rFonts w:hint="eastAsia"/>
        </w:rPr>
        <w:t>第二章</w:t>
      </w:r>
      <w:r>
        <w:t xml:space="preserve"> </w:t>
      </w:r>
      <w:r>
        <w:t>关联交易和关联人</w:t>
      </w:r>
    </w:p>
    <w:p w14:paraId="61131B16" w14:textId="77777777" w:rsidR="00A4588A" w:rsidRDefault="00000000">
      <w:pPr>
        <w:spacing w:line="360" w:lineRule="auto"/>
        <w:ind w:firstLineChars="200" w:firstLine="482"/>
        <w:rPr>
          <w:rFonts w:ascii="Times New Roman" w:eastAsia="宋体" w:hAnsi="Times New Roman" w:cs="Times New Roman"/>
          <w:sz w:val="24"/>
          <w:szCs w:val="24"/>
        </w:rPr>
      </w:pPr>
      <w:r>
        <w:rPr>
          <w:rFonts w:ascii="Times New Roman" w:eastAsia="宋体" w:hAnsi="Times New Roman" w:cs="Times New Roman" w:hint="eastAsia"/>
          <w:b/>
          <w:sz w:val="24"/>
          <w:szCs w:val="24"/>
        </w:rPr>
        <w:t>第四条</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公司的关联交易，是指公司或者其控股子公司与公司关联人之间发生的转移资源或义务的事项，包括：</w:t>
      </w:r>
    </w:p>
    <w:p w14:paraId="35CC8520" w14:textId="77777777" w:rsidR="00A4588A" w:rsidRDefault="00000000">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（一）购买或者出售资产；</w:t>
      </w:r>
    </w:p>
    <w:p w14:paraId="3FBC2ACF" w14:textId="77777777" w:rsidR="00A4588A" w:rsidRDefault="00000000">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（二）对外投资（含委托理财、对子公司投资等）；</w:t>
      </w:r>
    </w:p>
    <w:p w14:paraId="72AC6001" w14:textId="77777777" w:rsidR="00A4588A" w:rsidRDefault="00000000">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（三）提供财务资助（含有</w:t>
      </w:r>
      <w:proofErr w:type="gramStart"/>
      <w:r>
        <w:rPr>
          <w:rFonts w:ascii="Times New Roman" w:eastAsia="宋体" w:hAnsi="Times New Roman" w:cs="Times New Roman" w:hint="eastAsia"/>
          <w:sz w:val="24"/>
          <w:szCs w:val="24"/>
        </w:rPr>
        <w:t>息</w:t>
      </w:r>
      <w:proofErr w:type="gramEnd"/>
      <w:r>
        <w:rPr>
          <w:rFonts w:ascii="Times New Roman" w:eastAsia="宋体" w:hAnsi="Times New Roman" w:cs="Times New Roman" w:hint="eastAsia"/>
          <w:sz w:val="24"/>
          <w:szCs w:val="24"/>
        </w:rPr>
        <w:t>或者无息借款、委托贷款等）；</w:t>
      </w:r>
    </w:p>
    <w:p w14:paraId="793B38B5" w14:textId="77777777" w:rsidR="00A4588A" w:rsidRDefault="00000000">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（四）提供担保（含对控股子公司担保等）；</w:t>
      </w:r>
    </w:p>
    <w:p w14:paraId="2062D5A3" w14:textId="77777777" w:rsidR="00A4588A" w:rsidRDefault="00000000">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（五）租入或者租出资产；</w:t>
      </w:r>
    </w:p>
    <w:p w14:paraId="1D9FA473" w14:textId="77777777" w:rsidR="00A4588A" w:rsidRDefault="00000000">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（六）委托或者受托管理资产和业务；</w:t>
      </w:r>
    </w:p>
    <w:p w14:paraId="473EE091" w14:textId="77777777" w:rsidR="00A4588A" w:rsidRDefault="00000000">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（七）赠与或者受赠资产；</w:t>
      </w:r>
    </w:p>
    <w:p w14:paraId="2E73408C" w14:textId="77777777" w:rsidR="00A4588A" w:rsidRDefault="00000000">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（八）债权、债务重组；</w:t>
      </w:r>
    </w:p>
    <w:p w14:paraId="59575C23" w14:textId="77777777" w:rsidR="00A4588A" w:rsidRDefault="00000000">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（九）签订许可使用协议；</w:t>
      </w:r>
    </w:p>
    <w:p w14:paraId="34C7441F" w14:textId="77777777" w:rsidR="00A4588A" w:rsidRDefault="00000000">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（十）转让或者受让研发项目；</w:t>
      </w:r>
    </w:p>
    <w:p w14:paraId="25A06A74" w14:textId="77777777" w:rsidR="00A4588A" w:rsidRDefault="00000000">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lastRenderedPageBreak/>
        <w:t>（十一）放弃权利（</w:t>
      </w:r>
      <w:proofErr w:type="gramStart"/>
      <w:r>
        <w:rPr>
          <w:rFonts w:ascii="Times New Roman" w:eastAsia="宋体" w:hAnsi="Times New Roman" w:cs="Times New Roman" w:hint="eastAsia"/>
          <w:sz w:val="24"/>
          <w:szCs w:val="24"/>
        </w:rPr>
        <w:t>含放弃</w:t>
      </w:r>
      <w:proofErr w:type="gramEnd"/>
      <w:r>
        <w:rPr>
          <w:rFonts w:ascii="Times New Roman" w:eastAsia="宋体" w:hAnsi="Times New Roman" w:cs="Times New Roman" w:hint="eastAsia"/>
          <w:sz w:val="24"/>
          <w:szCs w:val="24"/>
        </w:rPr>
        <w:t>优先购买权、优先认缴出资权等）；</w:t>
      </w:r>
    </w:p>
    <w:p w14:paraId="427F2D93" w14:textId="77777777" w:rsidR="00A4588A" w:rsidRDefault="00000000">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（十二）购买原材料、燃料、动力；</w:t>
      </w:r>
    </w:p>
    <w:p w14:paraId="601EA9C1" w14:textId="77777777" w:rsidR="00A4588A" w:rsidRDefault="00000000">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（十三）销售产品、商品；</w:t>
      </w:r>
    </w:p>
    <w:p w14:paraId="6E0162CA" w14:textId="77777777" w:rsidR="00A4588A" w:rsidRDefault="00000000">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（十四）提供或者接受劳务；</w:t>
      </w:r>
    </w:p>
    <w:p w14:paraId="6926FA33" w14:textId="77777777" w:rsidR="00A4588A" w:rsidRDefault="00000000">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（十五）委托或者受托销售；</w:t>
      </w:r>
    </w:p>
    <w:p w14:paraId="1C231730" w14:textId="77777777" w:rsidR="00A4588A" w:rsidRDefault="00000000">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（十六）存贷款业务；</w:t>
      </w:r>
    </w:p>
    <w:p w14:paraId="768EDDC6" w14:textId="77777777" w:rsidR="00A4588A" w:rsidRDefault="00000000">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（十七）与关联人共同投资；</w:t>
      </w:r>
    </w:p>
    <w:p w14:paraId="5B868B37" w14:textId="77777777" w:rsidR="00A4588A" w:rsidRDefault="00000000">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（十八）其他通过约定可能引致资源或者义务转移的事项；</w:t>
      </w:r>
    </w:p>
    <w:p w14:paraId="2F795840" w14:textId="77777777" w:rsidR="00A4588A" w:rsidRDefault="00000000">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（十九）上海证券交易所认定的其他交易。</w:t>
      </w:r>
    </w:p>
    <w:p w14:paraId="781EDFFD" w14:textId="77777777" w:rsidR="00A4588A" w:rsidRDefault="00000000">
      <w:pPr>
        <w:spacing w:line="360" w:lineRule="auto"/>
        <w:ind w:firstLineChars="200" w:firstLine="482"/>
        <w:rPr>
          <w:rFonts w:ascii="Times New Roman" w:eastAsia="宋体" w:hAnsi="Times New Roman" w:cs="Times New Roman"/>
          <w:sz w:val="24"/>
          <w:szCs w:val="24"/>
        </w:rPr>
      </w:pPr>
      <w:r>
        <w:rPr>
          <w:rFonts w:ascii="Times New Roman" w:eastAsia="宋体" w:hAnsi="Times New Roman" w:cs="Times New Roman" w:hint="eastAsia"/>
          <w:b/>
          <w:sz w:val="24"/>
          <w:szCs w:val="24"/>
        </w:rPr>
        <w:t>第五条</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公司的关联人包括关联法人（或者其他组织）和关联自然人。</w:t>
      </w:r>
    </w:p>
    <w:p w14:paraId="3C9EDB42" w14:textId="77777777" w:rsidR="00A4588A" w:rsidRDefault="00000000">
      <w:pPr>
        <w:spacing w:line="360" w:lineRule="auto"/>
        <w:ind w:firstLineChars="200" w:firstLine="482"/>
        <w:rPr>
          <w:rFonts w:ascii="Times New Roman" w:eastAsia="宋体" w:hAnsi="Times New Roman" w:cs="Times New Roman"/>
          <w:sz w:val="24"/>
          <w:szCs w:val="24"/>
        </w:rPr>
      </w:pPr>
      <w:r>
        <w:rPr>
          <w:rFonts w:ascii="Times New Roman" w:eastAsia="宋体" w:hAnsi="Times New Roman" w:cs="Times New Roman" w:hint="eastAsia"/>
          <w:b/>
          <w:sz w:val="24"/>
          <w:szCs w:val="24"/>
        </w:rPr>
        <w:t>第六条</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具有下列情形之一的法人或者其他组织，为公司的关联法人（或者其他组织）：</w:t>
      </w:r>
    </w:p>
    <w:p w14:paraId="0CC5F0FD" w14:textId="77777777" w:rsidR="00A4588A" w:rsidRDefault="00000000">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（一）直接或间接地控制公司的法人（或者其他组织）；</w:t>
      </w:r>
    </w:p>
    <w:p w14:paraId="5D0E7E6B" w14:textId="77777777" w:rsidR="00A4588A" w:rsidRDefault="00000000">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（二）由前项所述法人（或者其他组织）直接或间接控制的除公司及其控股子公司以外的法人（或者其他组织）；</w:t>
      </w:r>
    </w:p>
    <w:p w14:paraId="51F13774" w14:textId="77777777" w:rsidR="00A4588A" w:rsidRDefault="00000000">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（三）持有公司</w:t>
      </w:r>
      <w:r>
        <w:rPr>
          <w:rFonts w:ascii="Times New Roman" w:eastAsia="宋体" w:hAnsi="Times New Roman" w:cs="Times New Roman"/>
          <w:sz w:val="24"/>
          <w:szCs w:val="24"/>
        </w:rPr>
        <w:t>5%</w:t>
      </w:r>
      <w:r>
        <w:rPr>
          <w:rFonts w:ascii="Times New Roman" w:eastAsia="宋体" w:hAnsi="Times New Roman" w:cs="Times New Roman"/>
          <w:sz w:val="24"/>
          <w:szCs w:val="24"/>
        </w:rPr>
        <w:t>以上股份的法人（或者其他组织）及其一致行动人；</w:t>
      </w:r>
    </w:p>
    <w:p w14:paraId="135C5221" w14:textId="77777777" w:rsidR="00A4588A" w:rsidRDefault="00000000">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（四）由公司关联自然人直接或者间接控制的，或担任董事（不含同为双方的独立董事）、高级管理人员的，除公司及其控股子公司以外的法人（或者其他组织）。</w:t>
      </w:r>
    </w:p>
    <w:p w14:paraId="4EBBC8CF" w14:textId="77777777" w:rsidR="00A4588A" w:rsidRDefault="00000000">
      <w:pPr>
        <w:spacing w:line="360" w:lineRule="auto"/>
        <w:ind w:firstLineChars="200" w:firstLine="482"/>
        <w:rPr>
          <w:rFonts w:ascii="Times New Roman" w:eastAsia="宋体" w:hAnsi="Times New Roman" w:cs="Times New Roman"/>
          <w:sz w:val="24"/>
          <w:szCs w:val="24"/>
        </w:rPr>
      </w:pPr>
      <w:r>
        <w:rPr>
          <w:rFonts w:ascii="Times New Roman" w:eastAsia="宋体" w:hAnsi="Times New Roman" w:cs="Times New Roman" w:hint="eastAsia"/>
          <w:b/>
          <w:sz w:val="24"/>
          <w:szCs w:val="24"/>
        </w:rPr>
        <w:t>第七条</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具有以下情形之一自然人，为公司的关联自然人：</w:t>
      </w:r>
    </w:p>
    <w:p w14:paraId="3244FB59" w14:textId="77777777" w:rsidR="00A4588A" w:rsidRDefault="00000000">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（一）直接或间接持有公司</w:t>
      </w:r>
      <w:r>
        <w:rPr>
          <w:rFonts w:ascii="Times New Roman" w:eastAsia="宋体" w:hAnsi="Times New Roman" w:cs="Times New Roman"/>
          <w:sz w:val="24"/>
          <w:szCs w:val="24"/>
        </w:rPr>
        <w:t>5%</w:t>
      </w:r>
      <w:r>
        <w:rPr>
          <w:rFonts w:ascii="Times New Roman" w:eastAsia="宋体" w:hAnsi="Times New Roman" w:cs="Times New Roman"/>
          <w:sz w:val="24"/>
          <w:szCs w:val="24"/>
        </w:rPr>
        <w:t>以上股份的自然人；</w:t>
      </w:r>
    </w:p>
    <w:p w14:paraId="76C4ADC2" w14:textId="77777777" w:rsidR="00A4588A" w:rsidRDefault="00000000">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（二）公司董事、高级管理人员；</w:t>
      </w:r>
    </w:p>
    <w:p w14:paraId="2F1497D7" w14:textId="77777777" w:rsidR="00A4588A" w:rsidRDefault="00000000">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（三）直接或者间接地控制公司的法人（或者其他组织）的董事、监事及高级管理人员；</w:t>
      </w:r>
    </w:p>
    <w:p w14:paraId="53B051FF" w14:textId="77777777" w:rsidR="00A4588A" w:rsidRDefault="00000000">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（四）本条第一项、第二项所述人士的关系密切的家庭成员。</w:t>
      </w:r>
    </w:p>
    <w:p w14:paraId="32306471" w14:textId="77777777" w:rsidR="00A4588A" w:rsidRDefault="00000000">
      <w:pPr>
        <w:spacing w:line="360" w:lineRule="auto"/>
        <w:ind w:firstLineChars="200" w:firstLine="482"/>
        <w:rPr>
          <w:rFonts w:ascii="Times New Roman" w:eastAsia="宋体" w:hAnsi="Times New Roman" w:cs="Times New Roman"/>
          <w:sz w:val="24"/>
          <w:szCs w:val="24"/>
        </w:rPr>
      </w:pPr>
      <w:r>
        <w:rPr>
          <w:rFonts w:ascii="Times New Roman" w:eastAsia="宋体" w:hAnsi="Times New Roman" w:cs="Times New Roman" w:hint="eastAsia"/>
          <w:b/>
          <w:sz w:val="24"/>
          <w:szCs w:val="24"/>
        </w:rPr>
        <w:t>第八条</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在过去十二个月内或者根据相关协议安排在未来十二个月内，存在本制度第七条、第八条所述情形之一的法人（或者其他组织）、自然人，为公司的关联人。</w:t>
      </w:r>
    </w:p>
    <w:p w14:paraId="566843F1" w14:textId="77777777" w:rsidR="00A4588A" w:rsidRDefault="00000000">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中国证监会、上海证券交易所或者公司根据实质重于形式的原则，认定其他</w:t>
      </w:r>
      <w:r>
        <w:rPr>
          <w:rFonts w:ascii="Times New Roman" w:eastAsia="宋体" w:hAnsi="Times New Roman" w:cs="Times New Roman" w:hint="eastAsia"/>
          <w:sz w:val="24"/>
          <w:szCs w:val="24"/>
        </w:rPr>
        <w:lastRenderedPageBreak/>
        <w:t>与公司有特殊关系、可能或者已经造成公司对其利益倾斜的自然人、法人（或者其他组织），为公司的关联人。</w:t>
      </w:r>
    </w:p>
    <w:p w14:paraId="47495633" w14:textId="77777777" w:rsidR="00A4588A" w:rsidRDefault="00000000">
      <w:pPr>
        <w:spacing w:line="360" w:lineRule="auto"/>
        <w:ind w:firstLineChars="200" w:firstLine="482"/>
        <w:rPr>
          <w:rFonts w:ascii="Times New Roman" w:eastAsia="宋体" w:hAnsi="Times New Roman" w:cs="Times New Roman"/>
          <w:sz w:val="24"/>
          <w:szCs w:val="24"/>
        </w:rPr>
      </w:pPr>
      <w:r>
        <w:rPr>
          <w:rFonts w:ascii="Times New Roman" w:eastAsia="宋体" w:hAnsi="Times New Roman" w:cs="Times New Roman" w:hint="eastAsia"/>
          <w:b/>
          <w:sz w:val="24"/>
          <w:szCs w:val="24"/>
        </w:rPr>
        <w:t>第九条</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公司与本制度第六条第二项所列法人（或者其他组织）受同一国有资产管理机构控制而形成该项所述情形的，</w:t>
      </w:r>
      <w:proofErr w:type="gramStart"/>
      <w:r>
        <w:rPr>
          <w:rFonts w:ascii="Times New Roman" w:eastAsia="宋体" w:hAnsi="Times New Roman" w:cs="Times New Roman"/>
          <w:sz w:val="24"/>
          <w:szCs w:val="24"/>
        </w:rPr>
        <w:t>不</w:t>
      </w:r>
      <w:proofErr w:type="gramEnd"/>
      <w:r>
        <w:rPr>
          <w:rFonts w:ascii="Times New Roman" w:eastAsia="宋体" w:hAnsi="Times New Roman" w:cs="Times New Roman"/>
          <w:sz w:val="24"/>
          <w:szCs w:val="24"/>
        </w:rPr>
        <w:t>因此构成关联关系，但其法定代表人、董事长、总经理或者半数以上的董事兼任公司董事或者高级管理人员的除外。</w:t>
      </w:r>
    </w:p>
    <w:p w14:paraId="754642D1" w14:textId="77777777" w:rsidR="00A4588A" w:rsidRDefault="00000000">
      <w:pPr>
        <w:spacing w:line="360" w:lineRule="auto"/>
        <w:ind w:firstLineChars="200" w:firstLine="482"/>
        <w:rPr>
          <w:rFonts w:ascii="Times New Roman" w:eastAsia="宋体" w:hAnsi="Times New Roman" w:cs="Times New Roman"/>
          <w:sz w:val="24"/>
          <w:szCs w:val="24"/>
        </w:rPr>
      </w:pPr>
      <w:r>
        <w:rPr>
          <w:rFonts w:ascii="Times New Roman" w:eastAsia="宋体" w:hAnsi="Times New Roman" w:cs="Times New Roman" w:hint="eastAsia"/>
          <w:b/>
          <w:sz w:val="24"/>
          <w:szCs w:val="24"/>
        </w:rPr>
        <w:t>第十条</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公司董事、高级管理人员、持股</w:t>
      </w:r>
      <w:r>
        <w:rPr>
          <w:rFonts w:ascii="Times New Roman" w:eastAsia="宋体" w:hAnsi="Times New Roman" w:cs="Times New Roman"/>
          <w:sz w:val="24"/>
          <w:szCs w:val="24"/>
        </w:rPr>
        <w:t>5%</w:t>
      </w:r>
      <w:r>
        <w:rPr>
          <w:rFonts w:ascii="Times New Roman" w:eastAsia="宋体" w:hAnsi="Times New Roman" w:cs="Times New Roman"/>
          <w:sz w:val="24"/>
          <w:szCs w:val="24"/>
        </w:rPr>
        <w:t>以上的股东及其一致行动人、实际控制人应当及时向公司董事会报送公司关联人名单及关联关系的说明，由公司做好登记管理工作。公司应当定期更新关联人名单。</w:t>
      </w:r>
    </w:p>
    <w:p w14:paraId="6B58F90F" w14:textId="77777777" w:rsidR="00A4588A" w:rsidRDefault="00000000">
      <w:pPr>
        <w:pStyle w:val="3"/>
      </w:pPr>
      <w:r>
        <w:rPr>
          <w:rFonts w:hint="eastAsia"/>
        </w:rPr>
        <w:t>第三章</w:t>
      </w:r>
      <w:r>
        <w:t xml:space="preserve"> </w:t>
      </w:r>
      <w:r>
        <w:t>关联交易决策程序和信息披露</w:t>
      </w:r>
    </w:p>
    <w:p w14:paraId="2739A5A7" w14:textId="77777777" w:rsidR="00A4588A" w:rsidRDefault="00000000">
      <w:pPr>
        <w:spacing w:line="360" w:lineRule="auto"/>
        <w:ind w:firstLineChars="200" w:firstLine="482"/>
        <w:rPr>
          <w:rFonts w:ascii="Times New Roman" w:eastAsia="宋体" w:hAnsi="Times New Roman" w:cs="Times New Roman"/>
          <w:sz w:val="24"/>
          <w:szCs w:val="24"/>
        </w:rPr>
      </w:pPr>
      <w:r>
        <w:rPr>
          <w:rFonts w:ascii="Times New Roman" w:eastAsia="宋体" w:hAnsi="Times New Roman" w:cs="Times New Roman" w:hint="eastAsia"/>
          <w:b/>
          <w:sz w:val="24"/>
          <w:szCs w:val="24"/>
        </w:rPr>
        <w:t>第十一条</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公司与关联人发生的交易均须提交总经理办公会审议。</w:t>
      </w:r>
    </w:p>
    <w:p w14:paraId="1AA28901" w14:textId="77777777" w:rsidR="00A4588A" w:rsidRDefault="00000000">
      <w:pPr>
        <w:spacing w:line="360" w:lineRule="auto"/>
        <w:ind w:firstLineChars="200" w:firstLine="482"/>
        <w:rPr>
          <w:rFonts w:ascii="Times New Roman" w:eastAsia="宋体" w:hAnsi="Times New Roman" w:cs="Times New Roman"/>
          <w:sz w:val="24"/>
          <w:szCs w:val="24"/>
        </w:rPr>
      </w:pPr>
      <w:r>
        <w:rPr>
          <w:rFonts w:ascii="Times New Roman" w:eastAsia="宋体" w:hAnsi="Times New Roman" w:cs="Times New Roman" w:hint="eastAsia"/>
          <w:b/>
          <w:sz w:val="24"/>
          <w:szCs w:val="24"/>
        </w:rPr>
        <w:t>第十二条</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公司与关联人发生的交易（为关联人提供担保除外）达到下列标准之一的，应当经全体独立董事过半数同意后履行董事会审议程序，并及时披露：</w:t>
      </w:r>
    </w:p>
    <w:p w14:paraId="1895B21A" w14:textId="77777777" w:rsidR="00A4588A" w:rsidRDefault="00000000">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（一）与关联自然人发生的成交金额超过</w:t>
      </w:r>
      <w:r>
        <w:rPr>
          <w:rFonts w:ascii="Times New Roman" w:eastAsia="宋体" w:hAnsi="Times New Roman" w:cs="Times New Roman"/>
          <w:sz w:val="24"/>
          <w:szCs w:val="24"/>
        </w:rPr>
        <w:t>30</w:t>
      </w:r>
      <w:r>
        <w:rPr>
          <w:rFonts w:ascii="Times New Roman" w:eastAsia="宋体" w:hAnsi="Times New Roman" w:cs="Times New Roman"/>
          <w:sz w:val="24"/>
          <w:szCs w:val="24"/>
        </w:rPr>
        <w:t>万元的交易；</w:t>
      </w:r>
    </w:p>
    <w:p w14:paraId="7B469DCC" w14:textId="77777777" w:rsidR="00A4588A" w:rsidRDefault="00000000">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（二）与关联法人（或者其他组织）发生的成交金额超过</w:t>
      </w:r>
      <w:r>
        <w:rPr>
          <w:rFonts w:ascii="Times New Roman" w:eastAsia="宋体" w:hAnsi="Times New Roman" w:cs="Times New Roman"/>
          <w:sz w:val="24"/>
          <w:szCs w:val="24"/>
        </w:rPr>
        <w:t>300</w:t>
      </w:r>
      <w:r>
        <w:rPr>
          <w:rFonts w:ascii="Times New Roman" w:eastAsia="宋体" w:hAnsi="Times New Roman" w:cs="Times New Roman"/>
          <w:sz w:val="24"/>
          <w:szCs w:val="24"/>
        </w:rPr>
        <w:t>万元，且占公司最近一期经审计净资产绝对值超过</w:t>
      </w:r>
      <w:r>
        <w:rPr>
          <w:rFonts w:ascii="Times New Roman" w:eastAsia="宋体" w:hAnsi="Times New Roman" w:cs="Times New Roman"/>
          <w:sz w:val="24"/>
          <w:szCs w:val="24"/>
        </w:rPr>
        <w:t>0.5%</w:t>
      </w:r>
      <w:r>
        <w:rPr>
          <w:rFonts w:ascii="Times New Roman" w:eastAsia="宋体" w:hAnsi="Times New Roman" w:cs="Times New Roman"/>
          <w:sz w:val="24"/>
          <w:szCs w:val="24"/>
        </w:rPr>
        <w:t>的交易。</w:t>
      </w:r>
    </w:p>
    <w:p w14:paraId="36FCB50E" w14:textId="77777777" w:rsidR="00A4588A" w:rsidRDefault="00000000">
      <w:pPr>
        <w:spacing w:line="360" w:lineRule="auto"/>
        <w:ind w:firstLineChars="200" w:firstLine="482"/>
        <w:rPr>
          <w:rFonts w:ascii="Times New Roman" w:eastAsia="宋体" w:hAnsi="Times New Roman" w:cs="Times New Roman"/>
          <w:sz w:val="24"/>
          <w:szCs w:val="24"/>
        </w:rPr>
      </w:pPr>
      <w:r>
        <w:rPr>
          <w:rFonts w:ascii="Times New Roman" w:eastAsia="宋体" w:hAnsi="Times New Roman" w:cs="Times New Roman" w:hint="eastAsia"/>
          <w:b/>
          <w:sz w:val="24"/>
          <w:szCs w:val="24"/>
        </w:rPr>
        <w:t>第十三条</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公司与关联人发生的成交金额超过</w:t>
      </w:r>
      <w:r>
        <w:rPr>
          <w:rFonts w:ascii="Times New Roman" w:eastAsia="宋体" w:hAnsi="Times New Roman" w:cs="Times New Roman"/>
          <w:sz w:val="24"/>
          <w:szCs w:val="24"/>
        </w:rPr>
        <w:t>3000</w:t>
      </w:r>
      <w:r>
        <w:rPr>
          <w:rFonts w:ascii="Times New Roman" w:eastAsia="宋体" w:hAnsi="Times New Roman" w:cs="Times New Roman"/>
          <w:sz w:val="24"/>
          <w:szCs w:val="24"/>
        </w:rPr>
        <w:t>万元，且占公司最近一期经审计净资产绝对值超过</w:t>
      </w:r>
      <w:r>
        <w:rPr>
          <w:rFonts w:ascii="Times New Roman" w:eastAsia="宋体" w:hAnsi="Times New Roman" w:cs="Times New Roman"/>
          <w:sz w:val="24"/>
          <w:szCs w:val="24"/>
        </w:rPr>
        <w:t>5%</w:t>
      </w:r>
      <w:r>
        <w:rPr>
          <w:rFonts w:ascii="Times New Roman" w:eastAsia="宋体" w:hAnsi="Times New Roman" w:cs="Times New Roman"/>
          <w:sz w:val="24"/>
          <w:szCs w:val="24"/>
        </w:rPr>
        <w:t>的（为关联人提供担保除外），应当提交股东会审议，还应当披露符合《股票上市规则》第</w:t>
      </w:r>
      <w:r>
        <w:rPr>
          <w:rFonts w:ascii="Times New Roman" w:eastAsia="宋体" w:hAnsi="Times New Roman" w:cs="Times New Roman"/>
          <w:sz w:val="24"/>
          <w:szCs w:val="24"/>
        </w:rPr>
        <w:t>6.1.6</w:t>
      </w:r>
      <w:r>
        <w:rPr>
          <w:rFonts w:ascii="Times New Roman" w:eastAsia="宋体" w:hAnsi="Times New Roman" w:cs="Times New Roman"/>
          <w:sz w:val="24"/>
          <w:szCs w:val="24"/>
        </w:rPr>
        <w:t>条要求的审计报告或者评估报告。</w:t>
      </w:r>
    </w:p>
    <w:p w14:paraId="6A1B7411" w14:textId="77777777" w:rsidR="00A4588A" w:rsidRDefault="00000000">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公司关联交易事项虽未达到前款规定的标准，中国证监会、上海证券交易所根据审慎原则可以要求公司提交股东会审议，并按照前款规定适用有关审计或者评估的要求。</w:t>
      </w:r>
    </w:p>
    <w:p w14:paraId="06ABD0DB" w14:textId="77777777" w:rsidR="00A4588A" w:rsidRDefault="00000000">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公司依据其他法律法规或公司《章程》提交股东会审议，或者自愿提交股东会审议的，应当披露符合本条第一款要求的审计报告或者评估报告，深证证券交易所另有规定的除外。</w:t>
      </w:r>
    </w:p>
    <w:p w14:paraId="5969B566" w14:textId="77777777" w:rsidR="00A4588A" w:rsidRDefault="00000000">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公司与关联人发生下列情形之一的交易时，可以免于审计或者评估：</w:t>
      </w:r>
    </w:p>
    <w:p w14:paraId="3AD7C02A" w14:textId="77777777" w:rsidR="00A4588A" w:rsidRDefault="00000000">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（一）《股票上市规则》第</w:t>
      </w:r>
      <w:r>
        <w:rPr>
          <w:rFonts w:ascii="Times New Roman" w:eastAsia="宋体" w:hAnsi="Times New Roman" w:cs="Times New Roman"/>
          <w:sz w:val="24"/>
          <w:szCs w:val="24"/>
        </w:rPr>
        <w:t>6.3.1</w:t>
      </w:r>
      <w:r>
        <w:rPr>
          <w:rFonts w:ascii="Times New Roman" w:eastAsia="宋体" w:hAnsi="Times New Roman" w:cs="Times New Roman" w:hint="eastAsia"/>
          <w:sz w:val="24"/>
          <w:szCs w:val="24"/>
        </w:rPr>
        <w:t>7</w:t>
      </w:r>
      <w:r>
        <w:rPr>
          <w:rFonts w:ascii="Times New Roman" w:eastAsia="宋体" w:hAnsi="Times New Roman" w:cs="Times New Roman"/>
          <w:sz w:val="24"/>
          <w:szCs w:val="24"/>
        </w:rPr>
        <w:t>条规定的日常关联交易；</w:t>
      </w:r>
    </w:p>
    <w:p w14:paraId="792CBE07" w14:textId="77777777" w:rsidR="00A4588A" w:rsidRDefault="00000000">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（二）与关联人等各方均以现金出资，</w:t>
      </w:r>
      <w:proofErr w:type="gramStart"/>
      <w:r>
        <w:rPr>
          <w:rFonts w:ascii="Times New Roman" w:eastAsia="宋体" w:hAnsi="Times New Roman" w:cs="Times New Roman" w:hint="eastAsia"/>
          <w:sz w:val="24"/>
          <w:szCs w:val="24"/>
        </w:rPr>
        <w:t>且按照</w:t>
      </w:r>
      <w:proofErr w:type="gramEnd"/>
      <w:r>
        <w:rPr>
          <w:rFonts w:ascii="Times New Roman" w:eastAsia="宋体" w:hAnsi="Times New Roman" w:cs="Times New Roman" w:hint="eastAsia"/>
          <w:sz w:val="24"/>
          <w:szCs w:val="24"/>
        </w:rPr>
        <w:t>出资比例确定各方在所投资主体的权益比例；</w:t>
      </w:r>
    </w:p>
    <w:p w14:paraId="6636458E" w14:textId="77777777" w:rsidR="00A4588A" w:rsidRDefault="00000000">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lastRenderedPageBreak/>
        <w:t>（三）上海证券交易所规定的其他情形。</w:t>
      </w:r>
    </w:p>
    <w:p w14:paraId="7B2ED016" w14:textId="77777777" w:rsidR="00A4588A" w:rsidRDefault="00000000">
      <w:pPr>
        <w:spacing w:line="360" w:lineRule="auto"/>
        <w:ind w:firstLineChars="200" w:firstLine="482"/>
        <w:rPr>
          <w:rFonts w:ascii="Times New Roman" w:eastAsia="宋体" w:hAnsi="Times New Roman" w:cs="Times New Roman"/>
          <w:sz w:val="24"/>
          <w:szCs w:val="24"/>
        </w:rPr>
      </w:pPr>
      <w:r>
        <w:rPr>
          <w:rFonts w:ascii="Times New Roman" w:eastAsia="宋体" w:hAnsi="Times New Roman" w:cs="Times New Roman" w:hint="eastAsia"/>
          <w:b/>
          <w:sz w:val="24"/>
          <w:szCs w:val="24"/>
        </w:rPr>
        <w:t>第十四条</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董事会审议关联交易事项时，关联董事应当回避表决，也不得代理其他董事行使表决权，其表决权不计入表决权总数。该董事会会议由过半数的非关联董事出席即可举行，董事会会议所作决议须经非关联董事过半数通过。出席董事会会议的非关联董事人数不足三人的，公司应当将该交易提交股东会审议。</w:t>
      </w:r>
    </w:p>
    <w:p w14:paraId="6596205B" w14:textId="77777777" w:rsidR="00A4588A" w:rsidRDefault="00000000">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前款所称关联董事包括具有下列情形之一的董事：</w:t>
      </w:r>
    </w:p>
    <w:p w14:paraId="60756872" w14:textId="77777777" w:rsidR="00A4588A" w:rsidRDefault="00000000">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（一）交易对方；</w:t>
      </w:r>
    </w:p>
    <w:p w14:paraId="21916F45" w14:textId="77777777" w:rsidR="00A4588A" w:rsidRDefault="00000000">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（二）在交易对方任职，或者在能直接或者间接控制该交易对方的法人（或者其他组织）、该交易对方直接或者间接控制的法人（或者其他组织）任职；</w:t>
      </w:r>
    </w:p>
    <w:p w14:paraId="1646519E" w14:textId="77777777" w:rsidR="00A4588A" w:rsidRDefault="00000000">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（三）拥有交易对方的直接或者间接控制权；</w:t>
      </w:r>
    </w:p>
    <w:p w14:paraId="01D68818" w14:textId="77777777" w:rsidR="00A4588A" w:rsidRDefault="00000000">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（四）交易对方或者其直接、间接控制人的关系密切的家庭成员；</w:t>
      </w:r>
    </w:p>
    <w:p w14:paraId="29CB1EEE" w14:textId="77777777" w:rsidR="00A4588A" w:rsidRDefault="00000000">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（五）交易对方或者其直接、间接控制人的董事、监事和高级管理人员的关系密切的家庭成员；</w:t>
      </w:r>
    </w:p>
    <w:p w14:paraId="16CF7F2D" w14:textId="77777777" w:rsidR="00A4588A" w:rsidRDefault="00000000">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（六）中国证监会、上海证券交易所或者公司认定的因其他原因使其独立的商业判断可能受到影响的董事。</w:t>
      </w:r>
    </w:p>
    <w:p w14:paraId="31EF225B" w14:textId="77777777" w:rsidR="00A4588A" w:rsidRDefault="00000000">
      <w:pPr>
        <w:spacing w:line="360" w:lineRule="auto"/>
        <w:ind w:firstLineChars="200" w:firstLine="482"/>
        <w:rPr>
          <w:rFonts w:ascii="Times New Roman" w:eastAsia="宋体" w:hAnsi="Times New Roman" w:cs="Times New Roman"/>
          <w:sz w:val="24"/>
          <w:szCs w:val="24"/>
        </w:rPr>
      </w:pPr>
      <w:r>
        <w:rPr>
          <w:rFonts w:ascii="Times New Roman" w:eastAsia="宋体" w:hAnsi="Times New Roman" w:cs="Times New Roman" w:hint="eastAsia"/>
          <w:b/>
          <w:sz w:val="24"/>
          <w:szCs w:val="24"/>
        </w:rPr>
        <w:t>第十五条</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公司股东会审议关联交易事项时，关联股东应当回避表决，并且不得代理其他股东行使表决权。</w:t>
      </w:r>
    </w:p>
    <w:p w14:paraId="1D0660BC" w14:textId="77777777" w:rsidR="00A4588A" w:rsidRDefault="00000000">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前款所称关联股东包括具有下列情形之一的股东：</w:t>
      </w:r>
    </w:p>
    <w:p w14:paraId="4817AA84" w14:textId="77777777" w:rsidR="00A4588A" w:rsidRDefault="00000000">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（一）交易对方；</w:t>
      </w:r>
    </w:p>
    <w:p w14:paraId="1EEECD5C" w14:textId="77777777" w:rsidR="00A4588A" w:rsidRDefault="00000000">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（二）拥有交易对方直接或者间接控制权；</w:t>
      </w:r>
    </w:p>
    <w:p w14:paraId="13C84884" w14:textId="77777777" w:rsidR="00A4588A" w:rsidRDefault="00000000">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（三）被交易对方直接或者间接控制；</w:t>
      </w:r>
    </w:p>
    <w:p w14:paraId="736A1296" w14:textId="77777777" w:rsidR="00A4588A" w:rsidRDefault="00000000">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（四）与交易对方受同一法人（或者其他组织）或者自然人直接或者间接控制；</w:t>
      </w:r>
    </w:p>
    <w:p w14:paraId="0CCF1CD6" w14:textId="77777777" w:rsidR="00A4588A" w:rsidRDefault="00000000">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（五）在交易对方任职，或者在能直接或者间接控制该交易对方的法人（或者其他组织）、该交易对方直接或者间接控制的法人（或者其他组织）任职；</w:t>
      </w:r>
    </w:p>
    <w:p w14:paraId="1598C3AC" w14:textId="77777777" w:rsidR="00A4588A" w:rsidRDefault="00000000">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（六）交易对方及其直接、间接控制人的关系密切的家庭成员；</w:t>
      </w:r>
    </w:p>
    <w:p w14:paraId="63ED552E" w14:textId="77777777" w:rsidR="00A4588A" w:rsidRDefault="00000000">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（七）因与交易对方或者其关联人存在尚未履行完毕的股权转让协议或者其他协议而使其表决权受到限制或者影响；</w:t>
      </w:r>
    </w:p>
    <w:p w14:paraId="05066A3B" w14:textId="77777777" w:rsidR="00A4588A" w:rsidRDefault="00000000">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（八）中国证监会或者上海证券交易所认定的可能造成公司对其利益倾斜的</w:t>
      </w:r>
      <w:r>
        <w:rPr>
          <w:rFonts w:ascii="Times New Roman" w:eastAsia="宋体" w:hAnsi="Times New Roman" w:cs="Times New Roman" w:hint="eastAsia"/>
          <w:sz w:val="24"/>
          <w:szCs w:val="24"/>
        </w:rPr>
        <w:lastRenderedPageBreak/>
        <w:t>股东。</w:t>
      </w:r>
    </w:p>
    <w:p w14:paraId="4D998539" w14:textId="77777777" w:rsidR="00A4588A" w:rsidRDefault="00000000">
      <w:pPr>
        <w:spacing w:line="360" w:lineRule="auto"/>
        <w:ind w:firstLineChars="200" w:firstLine="482"/>
        <w:rPr>
          <w:rFonts w:ascii="Times New Roman" w:eastAsia="宋体" w:hAnsi="Times New Roman" w:cs="Times New Roman"/>
          <w:sz w:val="24"/>
          <w:szCs w:val="24"/>
        </w:rPr>
      </w:pPr>
      <w:r>
        <w:rPr>
          <w:rFonts w:ascii="Times New Roman" w:eastAsia="宋体" w:hAnsi="Times New Roman" w:cs="Times New Roman" w:hint="eastAsia"/>
          <w:b/>
          <w:sz w:val="24"/>
          <w:szCs w:val="24"/>
        </w:rPr>
        <w:t>第十六条</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公司与关联人发生的下列交易，应当按照《股票上市规则》重大交易相关规定及本制度的规定履行关联交易信息披露义务及审议程序，并可以向</w:t>
      </w:r>
      <w:r>
        <w:rPr>
          <w:rFonts w:ascii="Times New Roman" w:eastAsia="宋体" w:hAnsi="Times New Roman" w:cs="Times New Roman" w:hint="eastAsia"/>
          <w:sz w:val="24"/>
          <w:szCs w:val="24"/>
        </w:rPr>
        <w:t>上海证券交易所</w:t>
      </w:r>
      <w:r>
        <w:rPr>
          <w:rFonts w:ascii="Times New Roman" w:eastAsia="宋体" w:hAnsi="Times New Roman" w:cs="Times New Roman"/>
          <w:sz w:val="24"/>
          <w:szCs w:val="24"/>
        </w:rPr>
        <w:t>申请豁免按照本制度第十三条的规定提交股东会审议：</w:t>
      </w:r>
      <w:r>
        <w:rPr>
          <w:rFonts w:ascii="Times New Roman" w:eastAsia="宋体" w:hAnsi="Times New Roman" w:cs="Times New Roman"/>
          <w:sz w:val="24"/>
          <w:szCs w:val="24"/>
        </w:rPr>
        <w:t xml:space="preserve"> </w:t>
      </w:r>
    </w:p>
    <w:p w14:paraId="39576D72" w14:textId="77777777" w:rsidR="00A4588A" w:rsidRDefault="00000000">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（一）面向不特定对象的公开招标、公开拍卖或者挂牌的（不含邀标等受限方式），但招标、拍卖等难以形成公允价格的除外；</w:t>
      </w:r>
    </w:p>
    <w:p w14:paraId="41FF47A1" w14:textId="77777777" w:rsidR="00A4588A" w:rsidRDefault="00000000">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（二）公司单方面获得利益且不支付对价、不附任何义务的交易，包括受赠现金资产、获得债务减免等；</w:t>
      </w:r>
    </w:p>
    <w:p w14:paraId="22C4530C" w14:textId="77777777" w:rsidR="00A4588A" w:rsidRDefault="00000000">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（三）关联交易定价由国家规定；</w:t>
      </w:r>
    </w:p>
    <w:p w14:paraId="1AA8ECF5" w14:textId="77777777" w:rsidR="00A4588A" w:rsidRDefault="00000000">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（四）关联人向公司提供资金，利率不高于贷款市场报价利率，且公司无相应担保。</w:t>
      </w:r>
    </w:p>
    <w:p w14:paraId="4A196F00" w14:textId="77777777" w:rsidR="00A4588A" w:rsidRDefault="00000000">
      <w:pPr>
        <w:spacing w:line="360" w:lineRule="auto"/>
        <w:ind w:firstLineChars="200" w:firstLine="482"/>
        <w:rPr>
          <w:rFonts w:ascii="Times New Roman" w:eastAsia="宋体" w:hAnsi="Times New Roman" w:cs="Times New Roman"/>
          <w:sz w:val="24"/>
          <w:szCs w:val="24"/>
        </w:rPr>
      </w:pPr>
      <w:r>
        <w:rPr>
          <w:rFonts w:ascii="Times New Roman" w:eastAsia="宋体" w:hAnsi="Times New Roman" w:cs="Times New Roman" w:hint="eastAsia"/>
          <w:b/>
          <w:sz w:val="24"/>
          <w:szCs w:val="24"/>
        </w:rPr>
        <w:t>第十七条</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公司与关联人达成以下关联交易时，可以免予按照关联交易的方式进行审议和披露：</w:t>
      </w:r>
    </w:p>
    <w:p w14:paraId="27E58E91" w14:textId="77777777" w:rsidR="00A4588A" w:rsidRDefault="00000000">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（一）公司单方面获得利益且不支付对价、不附任何义务的交易，包括受赠现金资产、获得债务减免、无偿接受担保和财务资助等；</w:t>
      </w:r>
    </w:p>
    <w:p w14:paraId="37165E55" w14:textId="77777777" w:rsidR="00A4588A" w:rsidRDefault="00000000">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（二）关联人向公司提供资金，利率水平不高于贷款市场报价利率，且公司无需提供担保；</w:t>
      </w:r>
    </w:p>
    <w:p w14:paraId="565E75F3" w14:textId="77777777" w:rsidR="00A4588A" w:rsidRDefault="00000000">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（三）一方以现金方式认购另一方向不特定对象发行的股票、可转换公司债</w:t>
      </w:r>
      <w:proofErr w:type="gramStart"/>
      <w:r>
        <w:rPr>
          <w:rFonts w:ascii="Times New Roman" w:eastAsia="宋体" w:hAnsi="Times New Roman" w:cs="Times New Roman" w:hint="eastAsia"/>
          <w:sz w:val="24"/>
          <w:szCs w:val="24"/>
        </w:rPr>
        <w:t>券</w:t>
      </w:r>
      <w:proofErr w:type="gramEnd"/>
      <w:r>
        <w:rPr>
          <w:rFonts w:ascii="Times New Roman" w:eastAsia="宋体" w:hAnsi="Times New Roman" w:cs="Times New Roman" w:hint="eastAsia"/>
          <w:sz w:val="24"/>
          <w:szCs w:val="24"/>
        </w:rPr>
        <w:t>或者其他衍生品种、公开发行公司债券（含企业债券）；</w:t>
      </w:r>
    </w:p>
    <w:p w14:paraId="744A66E1" w14:textId="77777777" w:rsidR="00A4588A" w:rsidRDefault="00000000">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（四）一方作为承销团成员承销另一方向不特定对象发行的股票、可转换公司债</w:t>
      </w:r>
      <w:proofErr w:type="gramStart"/>
      <w:r>
        <w:rPr>
          <w:rFonts w:ascii="Times New Roman" w:eastAsia="宋体" w:hAnsi="Times New Roman" w:cs="Times New Roman" w:hint="eastAsia"/>
          <w:sz w:val="24"/>
          <w:szCs w:val="24"/>
        </w:rPr>
        <w:t>券</w:t>
      </w:r>
      <w:proofErr w:type="gramEnd"/>
      <w:r>
        <w:rPr>
          <w:rFonts w:ascii="Times New Roman" w:eastAsia="宋体" w:hAnsi="Times New Roman" w:cs="Times New Roman" w:hint="eastAsia"/>
          <w:sz w:val="24"/>
          <w:szCs w:val="24"/>
        </w:rPr>
        <w:t>或者其他衍生品种、公开发行公司债券（含企业债券）；</w:t>
      </w:r>
    </w:p>
    <w:p w14:paraId="6297437D" w14:textId="77777777" w:rsidR="00A4588A" w:rsidRDefault="00000000">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（五）一方依据另一方股东会决议领取股息、红利或者报酬；</w:t>
      </w:r>
    </w:p>
    <w:p w14:paraId="2D2E287A" w14:textId="77777777" w:rsidR="00A4588A" w:rsidRDefault="00000000">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（六）一方参与另一方公开招标、拍卖等，但是招标、拍卖等难以形成公允价格的除外；</w:t>
      </w:r>
    </w:p>
    <w:p w14:paraId="560CB163" w14:textId="77777777" w:rsidR="00A4588A" w:rsidRDefault="00000000">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（七）公司按与非关联人同等交易条件，向本制度第五条关联自然人提供产品和服务；</w:t>
      </w:r>
    </w:p>
    <w:p w14:paraId="35E0E1EC" w14:textId="77777777" w:rsidR="00A4588A" w:rsidRDefault="00000000">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（八）关联交易定价为国家规定；</w:t>
      </w:r>
    </w:p>
    <w:p w14:paraId="5EDB4E21" w14:textId="77777777" w:rsidR="00A4588A" w:rsidRDefault="00000000">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（九）上海证券交易所认定的其他交易。</w:t>
      </w:r>
    </w:p>
    <w:p w14:paraId="3E9C393A" w14:textId="77777777" w:rsidR="00A4588A" w:rsidRDefault="00000000">
      <w:pPr>
        <w:spacing w:line="360" w:lineRule="auto"/>
        <w:ind w:firstLineChars="200" w:firstLine="482"/>
        <w:rPr>
          <w:rFonts w:ascii="Times New Roman" w:eastAsia="宋体" w:hAnsi="Times New Roman" w:cs="Times New Roman"/>
          <w:sz w:val="24"/>
          <w:szCs w:val="24"/>
        </w:rPr>
      </w:pPr>
      <w:r>
        <w:rPr>
          <w:rFonts w:ascii="Times New Roman" w:eastAsia="宋体" w:hAnsi="Times New Roman" w:cs="Times New Roman" w:hint="eastAsia"/>
          <w:b/>
          <w:sz w:val="24"/>
          <w:szCs w:val="24"/>
        </w:rPr>
        <w:t>第十八条</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公司不得为本制度第六条至第九条规定的关联人提供财务资助，</w:t>
      </w:r>
      <w:r>
        <w:rPr>
          <w:rFonts w:ascii="Times New Roman" w:eastAsia="宋体" w:hAnsi="Times New Roman" w:cs="Times New Roman"/>
          <w:sz w:val="24"/>
          <w:szCs w:val="24"/>
        </w:rPr>
        <w:lastRenderedPageBreak/>
        <w:t>但向关联参股公司（不包括由公司控股股东、实际控制人控制的主体）提供财务资助，且该参股公司的其他股东按出资比例提供同等条件财务资助的情形除外。</w:t>
      </w:r>
      <w:r>
        <w:rPr>
          <w:rFonts w:ascii="Times New Roman" w:eastAsia="宋体" w:hAnsi="Times New Roman" w:cs="Times New Roman"/>
          <w:sz w:val="24"/>
          <w:szCs w:val="24"/>
        </w:rPr>
        <w:t xml:space="preserve"> </w:t>
      </w:r>
    </w:p>
    <w:p w14:paraId="73763D34" w14:textId="77777777" w:rsidR="00A4588A" w:rsidRDefault="00000000">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公司向前款规定的关联参股公司提供财务资助的，除应当经全体非关联董事的过半数审议通过外，还应当经出席董事会会议的非关联董事的三分之二以上董事审议通过，并提交股东会审议。</w:t>
      </w:r>
      <w:r>
        <w:rPr>
          <w:rFonts w:ascii="Times New Roman" w:eastAsia="宋体" w:hAnsi="Times New Roman" w:cs="Times New Roman"/>
          <w:sz w:val="24"/>
          <w:szCs w:val="24"/>
        </w:rPr>
        <w:t xml:space="preserve"> </w:t>
      </w:r>
    </w:p>
    <w:p w14:paraId="107D96D2" w14:textId="77777777" w:rsidR="00A4588A" w:rsidRDefault="00000000">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本条所称关联参股公司，是指由公司</w:t>
      </w:r>
      <w:proofErr w:type="gramStart"/>
      <w:r>
        <w:rPr>
          <w:rFonts w:ascii="Times New Roman" w:eastAsia="宋体" w:hAnsi="Times New Roman" w:cs="Times New Roman" w:hint="eastAsia"/>
          <w:sz w:val="24"/>
          <w:szCs w:val="24"/>
        </w:rPr>
        <w:t>参股且</w:t>
      </w:r>
      <w:proofErr w:type="gramEnd"/>
      <w:r>
        <w:rPr>
          <w:rFonts w:ascii="Times New Roman" w:eastAsia="宋体" w:hAnsi="Times New Roman" w:cs="Times New Roman" w:hint="eastAsia"/>
          <w:sz w:val="24"/>
          <w:szCs w:val="24"/>
        </w:rPr>
        <w:t>属于本制度第六条至第九条的公司的关联法人（或者其他组织）。</w:t>
      </w:r>
    </w:p>
    <w:p w14:paraId="1D596DC7" w14:textId="77777777" w:rsidR="00A4588A" w:rsidRDefault="00000000">
      <w:pPr>
        <w:spacing w:line="360" w:lineRule="auto"/>
        <w:ind w:firstLineChars="200" w:firstLine="482"/>
        <w:rPr>
          <w:rFonts w:ascii="Times New Roman" w:eastAsia="宋体" w:hAnsi="Times New Roman" w:cs="Times New Roman"/>
          <w:sz w:val="24"/>
          <w:szCs w:val="24"/>
        </w:rPr>
      </w:pPr>
      <w:r>
        <w:rPr>
          <w:rFonts w:ascii="Times New Roman" w:eastAsia="宋体" w:hAnsi="Times New Roman" w:cs="Times New Roman" w:hint="eastAsia"/>
          <w:b/>
          <w:sz w:val="24"/>
          <w:szCs w:val="24"/>
        </w:rPr>
        <w:t>第十九条</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公司为关联人提供担保的，除应当经全体非关联董事的过半数审议通过外，还应当经出席董事会会议的非关联董事的三分之二以上董事审议同意并</w:t>
      </w:r>
      <w:proofErr w:type="gramStart"/>
      <w:r>
        <w:rPr>
          <w:rFonts w:ascii="Times New Roman" w:eastAsia="宋体" w:hAnsi="Times New Roman" w:cs="Times New Roman"/>
          <w:sz w:val="24"/>
          <w:szCs w:val="24"/>
        </w:rPr>
        <w:t>作出</w:t>
      </w:r>
      <w:proofErr w:type="gramEnd"/>
      <w:r>
        <w:rPr>
          <w:rFonts w:ascii="Times New Roman" w:eastAsia="宋体" w:hAnsi="Times New Roman" w:cs="Times New Roman"/>
          <w:sz w:val="24"/>
          <w:szCs w:val="24"/>
        </w:rPr>
        <w:t>决议，并提交股东会审议。</w:t>
      </w:r>
      <w:r>
        <w:rPr>
          <w:rFonts w:ascii="Times New Roman" w:eastAsia="宋体" w:hAnsi="Times New Roman" w:cs="Times New Roman" w:hint="eastAsia"/>
          <w:sz w:val="24"/>
          <w:szCs w:val="24"/>
        </w:rPr>
        <w:t>公司对控股子公司提供的担保，可授权管理层审批，但单笔金额超过净资产</w:t>
      </w:r>
      <w:r>
        <w:rPr>
          <w:rFonts w:ascii="Times New Roman" w:eastAsia="宋体" w:hAnsi="Times New Roman" w:cs="Times New Roman" w:hint="eastAsia"/>
          <w:sz w:val="24"/>
          <w:szCs w:val="24"/>
        </w:rPr>
        <w:t>5%</w:t>
      </w:r>
      <w:r>
        <w:rPr>
          <w:rFonts w:ascii="Times New Roman" w:eastAsia="宋体" w:hAnsi="Times New Roman" w:cs="Times New Roman" w:hint="eastAsia"/>
          <w:sz w:val="24"/>
          <w:szCs w:val="24"/>
        </w:rPr>
        <w:t>的仍需提交董事会。</w:t>
      </w:r>
      <w:r>
        <w:rPr>
          <w:rFonts w:ascii="Times New Roman" w:eastAsia="宋体" w:hAnsi="Times New Roman" w:cs="Times New Roman"/>
          <w:sz w:val="24"/>
          <w:szCs w:val="24"/>
        </w:rPr>
        <w:t>公司为控股股东、实际控制人及其关联人提供担保的，控股股东、实际控制人及其关联人应当提供反担保。</w:t>
      </w:r>
      <w:r>
        <w:rPr>
          <w:rFonts w:ascii="Times New Roman" w:eastAsia="宋体" w:hAnsi="Times New Roman" w:cs="Times New Roman"/>
          <w:sz w:val="24"/>
          <w:szCs w:val="24"/>
        </w:rPr>
        <w:t xml:space="preserve"> </w:t>
      </w:r>
    </w:p>
    <w:p w14:paraId="12B25CA2" w14:textId="77777777" w:rsidR="00A4588A" w:rsidRDefault="00000000">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公司因交易导致被担保方成为公司的关联人的，在实施该交易或者关联交易的同时，应当就存续的关联担保履行相应审议程序和信息披露义务。</w:t>
      </w:r>
      <w:r>
        <w:rPr>
          <w:rFonts w:ascii="Times New Roman" w:eastAsia="宋体" w:hAnsi="Times New Roman" w:cs="Times New Roman"/>
          <w:sz w:val="24"/>
          <w:szCs w:val="24"/>
        </w:rPr>
        <w:t xml:space="preserve"> </w:t>
      </w:r>
    </w:p>
    <w:p w14:paraId="57872543" w14:textId="77777777" w:rsidR="00A4588A" w:rsidRDefault="00000000">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董事会或者股东会</w:t>
      </w:r>
      <w:proofErr w:type="gramStart"/>
      <w:r>
        <w:rPr>
          <w:rFonts w:ascii="Times New Roman" w:eastAsia="宋体" w:hAnsi="Times New Roman" w:cs="Times New Roman" w:hint="eastAsia"/>
          <w:sz w:val="24"/>
          <w:szCs w:val="24"/>
        </w:rPr>
        <w:t>未审议</w:t>
      </w:r>
      <w:proofErr w:type="gramEnd"/>
      <w:r>
        <w:rPr>
          <w:rFonts w:ascii="Times New Roman" w:eastAsia="宋体" w:hAnsi="Times New Roman" w:cs="Times New Roman" w:hint="eastAsia"/>
          <w:sz w:val="24"/>
          <w:szCs w:val="24"/>
        </w:rPr>
        <w:t>通过前款规定的关联担保事项的，交易各方应当采取提前终止担保等有效措施。</w:t>
      </w:r>
    </w:p>
    <w:p w14:paraId="545B077C" w14:textId="77777777" w:rsidR="00A4588A" w:rsidRDefault="00000000">
      <w:pPr>
        <w:spacing w:line="360" w:lineRule="auto"/>
        <w:ind w:firstLineChars="200" w:firstLine="482"/>
        <w:rPr>
          <w:rFonts w:ascii="Times New Roman" w:eastAsia="宋体" w:hAnsi="Times New Roman" w:cs="Times New Roman"/>
          <w:sz w:val="24"/>
          <w:szCs w:val="24"/>
        </w:rPr>
      </w:pPr>
      <w:r>
        <w:rPr>
          <w:rFonts w:ascii="Times New Roman" w:eastAsia="宋体" w:hAnsi="Times New Roman" w:cs="Times New Roman" w:hint="eastAsia"/>
          <w:b/>
          <w:sz w:val="24"/>
          <w:szCs w:val="24"/>
        </w:rPr>
        <w:t>第二十条</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公司与关联人之间进行委托理财等，如因交易频次和时效要求等原因难以对每次投资交易履行审议程序和披露义务的，可以对投资范围、投资额度及期限等进行合理预计，以额度作为计算标准，适用本制度第十三条、第十四条的规定。</w:t>
      </w:r>
      <w:r>
        <w:rPr>
          <w:rFonts w:ascii="Times New Roman" w:eastAsia="宋体" w:hAnsi="Times New Roman" w:cs="Times New Roman"/>
          <w:sz w:val="24"/>
          <w:szCs w:val="24"/>
        </w:rPr>
        <w:t xml:space="preserve"> </w:t>
      </w:r>
    </w:p>
    <w:p w14:paraId="080F3B6D" w14:textId="77777777" w:rsidR="00A4588A" w:rsidRDefault="00000000">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相关额度的使用期限不应超过十二个月，期限内任一时点的交易金额（含前述投资的收益进行再投资的相关金额）不应超过投资额度。</w:t>
      </w:r>
    </w:p>
    <w:p w14:paraId="60C7833F" w14:textId="77777777" w:rsidR="00A4588A" w:rsidRDefault="00000000">
      <w:pPr>
        <w:spacing w:line="360" w:lineRule="auto"/>
        <w:ind w:firstLineChars="200" w:firstLine="482"/>
        <w:rPr>
          <w:rFonts w:ascii="Times New Roman" w:eastAsia="宋体" w:hAnsi="Times New Roman" w:cs="Times New Roman"/>
          <w:sz w:val="24"/>
          <w:szCs w:val="24"/>
        </w:rPr>
      </w:pPr>
      <w:r>
        <w:rPr>
          <w:rFonts w:ascii="Times New Roman" w:eastAsia="宋体" w:hAnsi="Times New Roman" w:cs="Times New Roman" w:hint="eastAsia"/>
          <w:b/>
          <w:sz w:val="24"/>
          <w:szCs w:val="24"/>
        </w:rPr>
        <w:t>第二十一条</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公司与关联人发生涉及金融机构的存款、贷款等业务，应当以存款或者贷款的利息为准，适用本制度第十三条、第十四条的规定。对于公司与财务公司发生的关联存款、贷款等业务，由</w:t>
      </w:r>
      <w:r>
        <w:rPr>
          <w:rFonts w:ascii="Times New Roman" w:eastAsia="宋体" w:hAnsi="Times New Roman" w:cs="Times New Roman" w:hint="eastAsia"/>
          <w:sz w:val="24"/>
          <w:szCs w:val="24"/>
        </w:rPr>
        <w:t>上海证券交易所</w:t>
      </w:r>
      <w:r>
        <w:rPr>
          <w:rFonts w:ascii="Times New Roman" w:eastAsia="宋体" w:hAnsi="Times New Roman" w:cs="Times New Roman"/>
          <w:sz w:val="24"/>
          <w:szCs w:val="24"/>
        </w:rPr>
        <w:t>另行规定。</w:t>
      </w:r>
    </w:p>
    <w:p w14:paraId="66D0A504" w14:textId="77777777" w:rsidR="00A4588A" w:rsidRDefault="00000000">
      <w:pPr>
        <w:spacing w:line="360" w:lineRule="auto"/>
        <w:ind w:firstLineChars="200" w:firstLine="482"/>
        <w:rPr>
          <w:rFonts w:ascii="Times New Roman" w:eastAsia="宋体" w:hAnsi="Times New Roman" w:cs="Times New Roman"/>
          <w:sz w:val="24"/>
          <w:szCs w:val="24"/>
        </w:rPr>
      </w:pPr>
      <w:r>
        <w:rPr>
          <w:rFonts w:ascii="Times New Roman" w:eastAsia="宋体" w:hAnsi="Times New Roman" w:cs="Times New Roman" w:hint="eastAsia"/>
          <w:b/>
          <w:sz w:val="24"/>
          <w:szCs w:val="24"/>
        </w:rPr>
        <w:t>第二十二条</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公司因放弃权利导致与其关联人发生关联交易的，应当按照本制度</w:t>
      </w:r>
      <w:r>
        <w:rPr>
          <w:rFonts w:ascii="Times New Roman" w:eastAsia="宋体" w:hAnsi="Times New Roman" w:cs="Times New Roman"/>
          <w:b/>
          <w:sz w:val="24"/>
          <w:szCs w:val="24"/>
        </w:rPr>
        <w:t>第二十二条</w:t>
      </w:r>
      <w:r>
        <w:rPr>
          <w:rFonts w:ascii="Times New Roman" w:eastAsia="宋体" w:hAnsi="Times New Roman" w:cs="Times New Roman"/>
          <w:sz w:val="24"/>
          <w:szCs w:val="24"/>
        </w:rPr>
        <w:t>规定的标准，适用本制度第十三条、第十四条的规定。</w:t>
      </w:r>
    </w:p>
    <w:p w14:paraId="3545B9C3" w14:textId="77777777" w:rsidR="00A4588A" w:rsidRDefault="00000000">
      <w:pPr>
        <w:spacing w:line="360" w:lineRule="auto"/>
        <w:ind w:firstLineChars="200" w:firstLine="482"/>
        <w:rPr>
          <w:rFonts w:ascii="Times New Roman" w:eastAsia="宋体" w:hAnsi="Times New Roman" w:cs="Times New Roman"/>
          <w:sz w:val="24"/>
          <w:szCs w:val="24"/>
        </w:rPr>
      </w:pPr>
      <w:r>
        <w:rPr>
          <w:rFonts w:ascii="Times New Roman" w:eastAsia="宋体" w:hAnsi="Times New Roman" w:cs="Times New Roman" w:hint="eastAsia"/>
          <w:b/>
          <w:sz w:val="24"/>
          <w:szCs w:val="24"/>
        </w:rPr>
        <w:t>第二十三条</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公司与关联人共同投资，应当以公司的投资额作为交易金额，适用本制度第十三条、第十四条的规定。</w:t>
      </w:r>
    </w:p>
    <w:p w14:paraId="25B34CDB" w14:textId="77777777" w:rsidR="00A4588A" w:rsidRDefault="00000000">
      <w:pPr>
        <w:spacing w:line="360" w:lineRule="auto"/>
        <w:ind w:firstLineChars="200" w:firstLine="482"/>
        <w:rPr>
          <w:rFonts w:ascii="Times New Roman" w:eastAsia="宋体" w:hAnsi="Times New Roman" w:cs="Times New Roman"/>
          <w:sz w:val="24"/>
          <w:szCs w:val="24"/>
        </w:rPr>
      </w:pPr>
      <w:r>
        <w:rPr>
          <w:rFonts w:ascii="Times New Roman" w:eastAsia="宋体" w:hAnsi="Times New Roman" w:cs="Times New Roman" w:hint="eastAsia"/>
          <w:b/>
          <w:sz w:val="24"/>
          <w:szCs w:val="24"/>
        </w:rPr>
        <w:lastRenderedPageBreak/>
        <w:t>第二十四条</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公司关联人单方面受让公司拥有权益主体的其他股东的股权或者投资份额等，涉及有关放弃权利情形的，应当按照本制度第二十二条规定的标准，适用本制度第十三条、第十四条的规定；不涉及放弃权利情形，但可能对公司的财务状况、经营成果构成重大影响或者导致公司与该主体的关联关系发生变化的，公司应当及时披露。</w:t>
      </w:r>
    </w:p>
    <w:p w14:paraId="222A9EFB" w14:textId="77777777" w:rsidR="00A4588A" w:rsidRDefault="00000000">
      <w:pPr>
        <w:spacing w:line="360" w:lineRule="auto"/>
        <w:ind w:firstLineChars="200" w:firstLine="482"/>
        <w:rPr>
          <w:rFonts w:ascii="Times New Roman" w:eastAsia="宋体" w:hAnsi="Times New Roman" w:cs="Times New Roman"/>
          <w:sz w:val="24"/>
          <w:szCs w:val="24"/>
        </w:rPr>
      </w:pPr>
      <w:r>
        <w:rPr>
          <w:rFonts w:ascii="Times New Roman" w:eastAsia="宋体" w:hAnsi="Times New Roman" w:cs="Times New Roman" w:hint="eastAsia"/>
          <w:b/>
          <w:sz w:val="24"/>
          <w:szCs w:val="24"/>
        </w:rPr>
        <w:t>第二十五条</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公司与关联人发生第五条第（十三）项至第（十七）项所列的与日常经营相关的关联交易事项，应当按照下列标准适用本制度第十三条、第十四条的规定及时披露和履行审议程序：</w:t>
      </w:r>
      <w:r>
        <w:rPr>
          <w:rFonts w:ascii="Times New Roman" w:eastAsia="宋体" w:hAnsi="Times New Roman" w:cs="Times New Roman"/>
          <w:sz w:val="24"/>
          <w:szCs w:val="24"/>
        </w:rPr>
        <w:t xml:space="preserve"> </w:t>
      </w:r>
    </w:p>
    <w:p w14:paraId="0B890542" w14:textId="77777777" w:rsidR="00A4588A" w:rsidRDefault="00000000">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（一）首次发生的日常关联交易，公司应当根据协议涉及的交易金额，履行审议程序并及时披露；协议没有具体交易金额的，应当提交股东会审议。</w:t>
      </w:r>
    </w:p>
    <w:p w14:paraId="4830A26B" w14:textId="77777777" w:rsidR="00A4588A" w:rsidRDefault="00000000">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（二）实际执行</w:t>
      </w:r>
      <w:proofErr w:type="gramStart"/>
      <w:r>
        <w:rPr>
          <w:rFonts w:ascii="Times New Roman" w:eastAsia="宋体" w:hAnsi="Times New Roman" w:cs="Times New Roman" w:hint="eastAsia"/>
          <w:sz w:val="24"/>
          <w:szCs w:val="24"/>
        </w:rPr>
        <w:t>时协议</w:t>
      </w:r>
      <w:proofErr w:type="gramEnd"/>
      <w:r>
        <w:rPr>
          <w:rFonts w:ascii="Times New Roman" w:eastAsia="宋体" w:hAnsi="Times New Roman" w:cs="Times New Roman" w:hint="eastAsia"/>
          <w:sz w:val="24"/>
          <w:szCs w:val="24"/>
        </w:rPr>
        <w:t>主要条款发生重大变化或者协议期满需要续签的，应当根据新修订或者续签协议涉及交易金额为准，履行审议程序并及时披露。</w:t>
      </w:r>
    </w:p>
    <w:p w14:paraId="368E235C" w14:textId="77777777" w:rsidR="00A4588A" w:rsidRDefault="00000000">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三）对于每年发生的数量众多的日常关联交易，因需要经常订立新的日常关联交易协议而难以按照本款第一项规定将每份协议提交董事会或者股东会审议的，公司可以按类别合理预计日常关联交易年度金额，履行审议程序并及时披露；实际执行超出预计金额的，应当以超出金额为准及时履行审议程序并披露。</w:t>
      </w:r>
    </w:p>
    <w:p w14:paraId="50EF8701" w14:textId="77777777" w:rsidR="00A4588A" w:rsidRDefault="00000000">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（四）公司与关联人签订的日常关联交易协议期限超过三年的，应当每三年重新履行相关审议程序并披露。</w:t>
      </w:r>
    </w:p>
    <w:p w14:paraId="6D7CE841" w14:textId="77777777" w:rsidR="00A4588A" w:rsidRDefault="00000000">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公司应当在年度报告和半年度报告中分类汇总披露日常关联交易的实际履行情况。</w:t>
      </w:r>
    </w:p>
    <w:p w14:paraId="00DC655E" w14:textId="77777777" w:rsidR="00A4588A" w:rsidRDefault="00000000">
      <w:pPr>
        <w:spacing w:line="360" w:lineRule="auto"/>
        <w:ind w:firstLineChars="200" w:firstLine="482"/>
        <w:rPr>
          <w:rFonts w:ascii="Times New Roman" w:eastAsia="宋体" w:hAnsi="Times New Roman" w:cs="Times New Roman"/>
          <w:sz w:val="24"/>
          <w:szCs w:val="24"/>
        </w:rPr>
      </w:pPr>
      <w:r>
        <w:rPr>
          <w:rFonts w:ascii="Times New Roman" w:eastAsia="宋体" w:hAnsi="Times New Roman" w:cs="Times New Roman" w:hint="eastAsia"/>
          <w:b/>
          <w:sz w:val="24"/>
          <w:szCs w:val="24"/>
        </w:rPr>
        <w:t>第二十六条</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公司在连续十二个月内发生的下列关联交易，应当按照累计计算的原则分别适用本制度第十三条、第十四条的规定：</w:t>
      </w:r>
    </w:p>
    <w:p w14:paraId="5B81C745" w14:textId="77777777" w:rsidR="00A4588A" w:rsidRDefault="00000000">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（一）与同一关联人进行的交易；</w:t>
      </w:r>
    </w:p>
    <w:p w14:paraId="3991A91F" w14:textId="77777777" w:rsidR="00A4588A" w:rsidRDefault="00000000">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（二）与不同关联人进行的与同一交易标的</w:t>
      </w:r>
      <w:proofErr w:type="gramStart"/>
      <w:r>
        <w:rPr>
          <w:rFonts w:ascii="Times New Roman" w:eastAsia="宋体" w:hAnsi="Times New Roman" w:cs="Times New Roman" w:hint="eastAsia"/>
          <w:sz w:val="24"/>
          <w:szCs w:val="24"/>
        </w:rPr>
        <w:t>的</w:t>
      </w:r>
      <w:proofErr w:type="gramEnd"/>
      <w:r>
        <w:rPr>
          <w:rFonts w:ascii="Times New Roman" w:eastAsia="宋体" w:hAnsi="Times New Roman" w:cs="Times New Roman" w:hint="eastAsia"/>
          <w:sz w:val="24"/>
          <w:szCs w:val="24"/>
        </w:rPr>
        <w:t>交易。</w:t>
      </w:r>
    </w:p>
    <w:p w14:paraId="49EF139C" w14:textId="77777777" w:rsidR="00A4588A" w:rsidRDefault="00000000">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上述同一关联人包括与该关联人受同一主体控制或者相互存在股权控制关系的其他关联人。</w:t>
      </w:r>
    </w:p>
    <w:p w14:paraId="08503BB0" w14:textId="77777777" w:rsidR="00A4588A" w:rsidRDefault="00000000">
      <w:pPr>
        <w:spacing w:line="360" w:lineRule="auto"/>
        <w:ind w:firstLineChars="200" w:firstLine="482"/>
        <w:rPr>
          <w:rFonts w:ascii="Times New Roman" w:eastAsia="宋体" w:hAnsi="Times New Roman" w:cs="Times New Roman"/>
          <w:sz w:val="24"/>
          <w:szCs w:val="24"/>
        </w:rPr>
      </w:pPr>
      <w:r>
        <w:rPr>
          <w:rFonts w:ascii="Times New Roman" w:eastAsia="宋体" w:hAnsi="Times New Roman" w:cs="Times New Roman" w:hint="eastAsia"/>
          <w:b/>
          <w:sz w:val="24"/>
          <w:szCs w:val="24"/>
        </w:rPr>
        <w:t>第二十七条</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公司与关联人发生交易或者相关安排涉及未来可能支付或者收取或有对价的，以预计的最高金额为成交金额，适用本制度第十二条、第十三条的规定。</w:t>
      </w:r>
    </w:p>
    <w:p w14:paraId="4DF0C0CF" w14:textId="77777777" w:rsidR="00A4588A" w:rsidRDefault="00000000">
      <w:pPr>
        <w:spacing w:line="360" w:lineRule="auto"/>
        <w:ind w:firstLineChars="200" w:firstLine="482"/>
        <w:rPr>
          <w:rFonts w:ascii="Times New Roman" w:eastAsia="宋体" w:hAnsi="Times New Roman" w:cs="Times New Roman"/>
          <w:sz w:val="24"/>
          <w:szCs w:val="24"/>
        </w:rPr>
      </w:pPr>
      <w:r>
        <w:rPr>
          <w:rFonts w:ascii="Times New Roman" w:eastAsia="宋体" w:hAnsi="Times New Roman" w:cs="Times New Roman" w:hint="eastAsia"/>
          <w:b/>
          <w:sz w:val="24"/>
          <w:szCs w:val="24"/>
        </w:rPr>
        <w:lastRenderedPageBreak/>
        <w:t>第二十八条</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公司应当根据关联交易事项的类型披露关联交易的有关内容，包括交易对方、交易标的、交易各方的关联关系说明和关联人基本情况、交易协议的主要内容、交易定价及依据、有关部门审批文件（如有）、中介机构意见（如适用）等。</w:t>
      </w:r>
    </w:p>
    <w:p w14:paraId="4602B4F7" w14:textId="77777777" w:rsidR="00A4588A" w:rsidRDefault="00000000">
      <w:pPr>
        <w:spacing w:line="360" w:lineRule="auto"/>
        <w:ind w:firstLineChars="200" w:firstLine="482"/>
        <w:rPr>
          <w:rFonts w:ascii="Times New Roman" w:eastAsia="宋体" w:hAnsi="Times New Roman" w:cs="Times New Roman"/>
          <w:sz w:val="24"/>
          <w:szCs w:val="24"/>
        </w:rPr>
      </w:pPr>
      <w:r>
        <w:rPr>
          <w:rFonts w:ascii="Times New Roman" w:eastAsia="宋体" w:hAnsi="Times New Roman" w:cs="Times New Roman" w:hint="eastAsia"/>
          <w:b/>
          <w:sz w:val="24"/>
          <w:szCs w:val="24"/>
        </w:rPr>
        <w:t>第二十九条</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公司已披露但未履行股东会审议程序的关联交易事项，仍应当纳入累计计算范围以确定应当履行的审议程序。</w:t>
      </w:r>
    </w:p>
    <w:p w14:paraId="4A91F498" w14:textId="77777777" w:rsidR="00A4588A" w:rsidRDefault="00000000">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公司关联交易事项因适用连续十二个月累计计算原则达到披露标准的，可以仅将本次交易或关联交易事项按照相关要求披露，并在公告中简要说明前期累计未达到披露标准的交易或关联交易事项。</w:t>
      </w:r>
    </w:p>
    <w:p w14:paraId="368DC1D1" w14:textId="77777777" w:rsidR="00A4588A" w:rsidRDefault="00000000">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公司关联交易事项因适用连续十二个月累计计算原则应当提交股东会审议的，可以仅将本次交易或关联交易事项提交股东会审议，并在公告中简要说明前期未履行股东会审议程序的交易或关联交易事项。</w:t>
      </w:r>
    </w:p>
    <w:p w14:paraId="331330C4" w14:textId="77777777" w:rsidR="00A4588A" w:rsidRDefault="00000000">
      <w:pPr>
        <w:spacing w:line="360" w:lineRule="auto"/>
        <w:ind w:firstLineChars="200" w:firstLine="482"/>
        <w:rPr>
          <w:rFonts w:ascii="Times New Roman" w:eastAsia="宋体" w:hAnsi="Times New Roman" w:cs="Times New Roman"/>
          <w:sz w:val="24"/>
          <w:szCs w:val="24"/>
        </w:rPr>
      </w:pPr>
      <w:r>
        <w:rPr>
          <w:rFonts w:ascii="Times New Roman" w:eastAsia="宋体" w:hAnsi="Times New Roman" w:cs="Times New Roman" w:hint="eastAsia"/>
          <w:b/>
          <w:sz w:val="24"/>
          <w:szCs w:val="24"/>
        </w:rPr>
        <w:t>第三十条</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公司因合并报表范围发生变更等情形导致新增关联人的，在相关情形发生前与该关联人已签订协议且正在履行的交易事项，应当在相关公告中予以充分披露，并可免于履行《股票上市规则》规定的关联交易相关审议程序，不适用关联交易连续十二个月累计计算原则，此后新增的关联交易应当按照《股票上市规则》的相关规定披露并履行相应程序。</w:t>
      </w:r>
    </w:p>
    <w:p w14:paraId="2912FD0C" w14:textId="77777777" w:rsidR="00A4588A" w:rsidRDefault="00000000">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公司因合并报表范围发生变更等情形导致形成关联担保的不适用前款规定。</w:t>
      </w:r>
    </w:p>
    <w:p w14:paraId="6C357975" w14:textId="77777777" w:rsidR="00A4588A" w:rsidRDefault="00000000">
      <w:pPr>
        <w:pStyle w:val="3"/>
      </w:pPr>
      <w:r>
        <w:rPr>
          <w:rFonts w:hint="eastAsia"/>
        </w:rPr>
        <w:t>第四章</w:t>
      </w:r>
      <w:r>
        <w:t xml:space="preserve"> </w:t>
      </w:r>
      <w:r>
        <w:t>附则</w:t>
      </w:r>
    </w:p>
    <w:p w14:paraId="27E0A9CF" w14:textId="77777777" w:rsidR="00A4588A" w:rsidRDefault="00000000">
      <w:pPr>
        <w:spacing w:line="360" w:lineRule="auto"/>
        <w:ind w:firstLineChars="200" w:firstLine="482"/>
        <w:rPr>
          <w:rFonts w:ascii="Times New Roman" w:eastAsia="宋体" w:hAnsi="Times New Roman" w:cs="Times New Roman"/>
          <w:sz w:val="24"/>
          <w:szCs w:val="24"/>
        </w:rPr>
      </w:pPr>
      <w:r>
        <w:rPr>
          <w:rFonts w:ascii="Times New Roman" w:eastAsia="宋体" w:hAnsi="Times New Roman" w:cs="Times New Roman" w:hint="eastAsia"/>
          <w:b/>
          <w:sz w:val="24"/>
          <w:szCs w:val="24"/>
        </w:rPr>
        <w:t>第三十一条</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本制度所称</w:t>
      </w:r>
      <w:r>
        <w:rPr>
          <w:rFonts w:ascii="Times New Roman" w:eastAsia="宋体" w:hAnsi="Times New Roman" w:cs="Times New Roman" w:hint="eastAsia"/>
          <w:sz w:val="24"/>
          <w:szCs w:val="24"/>
        </w:rPr>
        <w:t>“</w:t>
      </w:r>
      <w:r>
        <w:rPr>
          <w:rFonts w:ascii="Times New Roman" w:eastAsia="宋体" w:hAnsi="Times New Roman" w:cs="Times New Roman"/>
          <w:sz w:val="24"/>
          <w:szCs w:val="24"/>
        </w:rPr>
        <w:t>以上</w:t>
      </w:r>
      <w:r>
        <w:rPr>
          <w:rFonts w:ascii="Times New Roman" w:eastAsia="宋体" w:hAnsi="Times New Roman" w:cs="Times New Roman" w:hint="eastAsia"/>
          <w:sz w:val="24"/>
          <w:szCs w:val="24"/>
        </w:rPr>
        <w:t>”</w:t>
      </w:r>
      <w:r>
        <w:rPr>
          <w:rFonts w:ascii="Times New Roman" w:eastAsia="宋体" w:hAnsi="Times New Roman" w:cs="Times New Roman"/>
          <w:sz w:val="24"/>
          <w:szCs w:val="24"/>
        </w:rPr>
        <w:t>含本数，</w:t>
      </w:r>
      <w:r>
        <w:rPr>
          <w:rFonts w:ascii="Times New Roman" w:eastAsia="宋体" w:hAnsi="Times New Roman" w:cs="Times New Roman" w:hint="eastAsia"/>
          <w:sz w:val="24"/>
          <w:szCs w:val="24"/>
        </w:rPr>
        <w:t>“</w:t>
      </w:r>
      <w:r>
        <w:rPr>
          <w:rFonts w:ascii="Times New Roman" w:eastAsia="宋体" w:hAnsi="Times New Roman" w:cs="Times New Roman"/>
          <w:sz w:val="24"/>
          <w:szCs w:val="24"/>
        </w:rPr>
        <w:t>超过</w:t>
      </w:r>
      <w:r>
        <w:rPr>
          <w:rFonts w:ascii="Times New Roman" w:eastAsia="宋体" w:hAnsi="Times New Roman" w:cs="Times New Roman" w:hint="eastAsia"/>
          <w:sz w:val="24"/>
          <w:szCs w:val="24"/>
        </w:rPr>
        <w:t>”</w:t>
      </w:r>
      <w:r>
        <w:rPr>
          <w:rFonts w:ascii="Times New Roman" w:eastAsia="宋体" w:hAnsi="Times New Roman" w:cs="Times New Roman"/>
          <w:sz w:val="24"/>
          <w:szCs w:val="24"/>
        </w:rPr>
        <w:t>不含本数。</w:t>
      </w:r>
    </w:p>
    <w:p w14:paraId="34DEF399" w14:textId="77777777" w:rsidR="00A4588A" w:rsidRDefault="00000000">
      <w:pPr>
        <w:spacing w:line="360" w:lineRule="auto"/>
        <w:ind w:firstLineChars="200" w:firstLine="482"/>
        <w:rPr>
          <w:rFonts w:ascii="Times New Roman" w:eastAsia="宋体" w:hAnsi="Times New Roman" w:cs="Times New Roman"/>
          <w:sz w:val="24"/>
          <w:szCs w:val="24"/>
        </w:rPr>
      </w:pPr>
      <w:r>
        <w:rPr>
          <w:rFonts w:ascii="Times New Roman" w:eastAsia="宋体" w:hAnsi="Times New Roman" w:cs="Times New Roman" w:hint="eastAsia"/>
          <w:b/>
          <w:sz w:val="24"/>
          <w:szCs w:val="24"/>
        </w:rPr>
        <w:t>第三十二条</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本制度未尽事宜，按照国家有关法律、行政法规、部门规章、规范性文件和公司《章程》的规定执行。本制度如与国家日后颁布的法律、行政法规、部门规章、规范性文件或经合法程序修改后的公司《章程》相冲突，按新的规定执行，并及时对本制度进行修订。</w:t>
      </w:r>
    </w:p>
    <w:p w14:paraId="53B1AF56" w14:textId="77777777" w:rsidR="00A4588A" w:rsidRDefault="00000000">
      <w:pPr>
        <w:spacing w:line="360" w:lineRule="auto"/>
        <w:ind w:firstLineChars="200" w:firstLine="482"/>
        <w:rPr>
          <w:rFonts w:ascii="Times New Roman" w:eastAsia="宋体" w:hAnsi="Times New Roman" w:cs="Times New Roman"/>
          <w:sz w:val="24"/>
          <w:szCs w:val="24"/>
        </w:rPr>
      </w:pPr>
      <w:r>
        <w:rPr>
          <w:rFonts w:ascii="Times New Roman" w:eastAsia="宋体" w:hAnsi="Times New Roman" w:cs="Times New Roman" w:hint="eastAsia"/>
          <w:b/>
          <w:sz w:val="24"/>
          <w:szCs w:val="24"/>
        </w:rPr>
        <w:t>第三十三条</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本制度的修订须经公司董事会审议通过后提交</w:t>
      </w:r>
      <w:proofErr w:type="gramStart"/>
      <w:r>
        <w:rPr>
          <w:rFonts w:ascii="Times New Roman" w:eastAsia="宋体" w:hAnsi="Times New Roman" w:cs="Times New Roman"/>
          <w:sz w:val="24"/>
          <w:szCs w:val="24"/>
        </w:rPr>
        <w:t>至股东</w:t>
      </w:r>
      <w:proofErr w:type="gramEnd"/>
      <w:r>
        <w:rPr>
          <w:rFonts w:ascii="Times New Roman" w:eastAsia="宋体" w:hAnsi="Times New Roman" w:cs="Times New Roman"/>
          <w:sz w:val="24"/>
          <w:szCs w:val="24"/>
        </w:rPr>
        <w:t>会批准后生效。</w:t>
      </w:r>
    </w:p>
    <w:p w14:paraId="2DD689A0" w14:textId="77777777" w:rsidR="00A4588A" w:rsidRDefault="00000000">
      <w:pPr>
        <w:spacing w:line="360" w:lineRule="auto"/>
        <w:ind w:firstLineChars="200" w:firstLine="482"/>
        <w:rPr>
          <w:rFonts w:ascii="Times New Roman" w:eastAsia="宋体" w:hAnsi="Times New Roman" w:cs="Times New Roman"/>
          <w:sz w:val="24"/>
          <w:szCs w:val="24"/>
        </w:rPr>
      </w:pPr>
      <w:r>
        <w:rPr>
          <w:rFonts w:ascii="Times New Roman" w:eastAsia="宋体" w:hAnsi="Times New Roman" w:cs="Times New Roman" w:hint="eastAsia"/>
          <w:b/>
          <w:sz w:val="24"/>
          <w:szCs w:val="24"/>
        </w:rPr>
        <w:t>第三十四条</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本制度由公司董事会负责解释。</w:t>
      </w:r>
    </w:p>
    <w:sectPr w:rsidR="00A4588A">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04CD17" w14:textId="77777777" w:rsidR="001E1EBD" w:rsidRDefault="001E1EBD">
      <w:pPr>
        <w:rPr>
          <w:rFonts w:hint="eastAsia"/>
        </w:rPr>
      </w:pPr>
      <w:r>
        <w:separator/>
      </w:r>
    </w:p>
  </w:endnote>
  <w:endnote w:type="continuationSeparator" w:id="0">
    <w:p w14:paraId="431052C1" w14:textId="77777777" w:rsidR="001E1EBD" w:rsidRDefault="001E1EBD">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华文宋体">
    <w:altName w:val="宋体"/>
    <w:panose1 w:val="02010600040101010101"/>
    <w:charset w:val="86"/>
    <w:family w:val="auto"/>
    <w:pitch w:val="default"/>
    <w:sig w:usb0="00000000" w:usb1="00000000" w:usb2="00000000" w:usb3="00000000" w:csb0="0004009F" w:csb1="DFD7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77713317"/>
    </w:sdtPr>
    <w:sdtContent>
      <w:p w14:paraId="28E319E7" w14:textId="77777777" w:rsidR="00A4588A" w:rsidRDefault="00000000">
        <w:pPr>
          <w:pStyle w:val="a3"/>
          <w:jc w:val="center"/>
          <w:rPr>
            <w:rFonts w:hint="eastAsia"/>
          </w:rPr>
        </w:pPr>
        <w:r>
          <w:fldChar w:fldCharType="begin"/>
        </w:r>
        <w:r>
          <w:instrText>PAGE   \* MERGEFORMAT</w:instrText>
        </w:r>
        <w:r>
          <w:fldChar w:fldCharType="separate"/>
        </w:r>
        <w:r>
          <w:rPr>
            <w:lang w:val="zh-CN"/>
          </w:rPr>
          <w:t>2</w:t>
        </w:r>
        <w:r>
          <w:fldChar w:fldCharType="end"/>
        </w:r>
      </w:p>
    </w:sdtContent>
  </w:sdt>
  <w:p w14:paraId="5F4A012D" w14:textId="77777777" w:rsidR="00A4588A" w:rsidRDefault="00A4588A">
    <w:pPr>
      <w:pStyle w:val="a3"/>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8B861B" w14:textId="77777777" w:rsidR="001E1EBD" w:rsidRDefault="001E1EBD">
      <w:pPr>
        <w:rPr>
          <w:rFonts w:hint="eastAsia"/>
        </w:rPr>
      </w:pPr>
      <w:r>
        <w:separator/>
      </w:r>
    </w:p>
  </w:footnote>
  <w:footnote w:type="continuationSeparator" w:id="0">
    <w:p w14:paraId="625EDAD8" w14:textId="77777777" w:rsidR="001E1EBD" w:rsidRDefault="001E1EBD">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76E"/>
    <w:rsid w:val="000A1B49"/>
    <w:rsid w:val="000E202A"/>
    <w:rsid w:val="00113F43"/>
    <w:rsid w:val="0013478F"/>
    <w:rsid w:val="001E1EBD"/>
    <w:rsid w:val="002B7287"/>
    <w:rsid w:val="002D5053"/>
    <w:rsid w:val="003507C6"/>
    <w:rsid w:val="003662DC"/>
    <w:rsid w:val="003818AE"/>
    <w:rsid w:val="0047676E"/>
    <w:rsid w:val="006D1FBB"/>
    <w:rsid w:val="00956408"/>
    <w:rsid w:val="00967DC6"/>
    <w:rsid w:val="009801C8"/>
    <w:rsid w:val="00A0135E"/>
    <w:rsid w:val="00A4588A"/>
    <w:rsid w:val="00C3122C"/>
    <w:rsid w:val="00E27627"/>
    <w:rsid w:val="00E363FC"/>
    <w:rsid w:val="00E83603"/>
    <w:rsid w:val="00F51EB8"/>
    <w:rsid w:val="00F57CBA"/>
    <w:rsid w:val="04267D73"/>
    <w:rsid w:val="4AF14F7F"/>
    <w:rsid w:val="58AF6989"/>
    <w:rsid w:val="7ABB19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6C34E20-B11C-4A02-94D5-DA77220E9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3">
    <w:name w:val="heading 3"/>
    <w:basedOn w:val="a"/>
    <w:next w:val="a"/>
    <w:link w:val="30"/>
    <w:uiPriority w:val="9"/>
    <w:qFormat/>
    <w:pPr>
      <w:keepNext/>
      <w:keepLines/>
      <w:spacing w:line="360" w:lineRule="auto"/>
      <w:jc w:val="center"/>
      <w:outlineLvl w:val="2"/>
    </w:pPr>
    <w:rPr>
      <w:rFonts w:ascii="Times New Roman" w:eastAsia="宋体" w:hAnsi="Times New Roman" w:cs="Times New Roman"/>
      <w:b/>
      <w:bCs/>
      <w:kern w:val="0"/>
      <w:sz w:val="2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semiHidden/>
    <w:unhideWhenUsed/>
    <w:rPr>
      <w:sz w:val="24"/>
    </w:rPr>
  </w:style>
  <w:style w:type="table" w:customStyle="1" w:styleId="a8">
    <w:name w:val="三线表"/>
    <w:basedOn w:val="a1"/>
    <w:uiPriority w:val="99"/>
    <w:qFormat/>
    <w:pPr>
      <w:jc w:val="both"/>
    </w:pPr>
    <w:tblPr>
      <w:tblBorders>
        <w:insideH w:val="single" w:sz="4" w:space="0" w:color="auto"/>
      </w:tblBorders>
    </w:tblPr>
    <w:tcPr>
      <w:shd w:val="clear" w:color="auto" w:fill="auto"/>
      <w:vAlign w:val="center"/>
    </w:tcPr>
    <w:tblStylePr w:type="firstRow">
      <w:rPr>
        <w:rFonts w:ascii="Times New Roman" w:eastAsia="宋体" w:hAnsi="Times New Roman" w:cs="宋体"/>
        <w:b/>
        <w:sz w:val="21"/>
      </w:rPr>
      <w:tblPr/>
      <w:tcPr>
        <w:tcBorders>
          <w:top w:val="single" w:sz="12" w:space="0" w:color="auto"/>
          <w:left w:val="nil"/>
          <w:bottom w:val="nil"/>
          <w:right w:val="nil"/>
          <w:insideH w:val="nil"/>
          <w:insideV w:val="nil"/>
        </w:tcBorders>
      </w:tcPr>
    </w:tblStylePr>
    <w:tblStylePr w:type="lastRow">
      <w:pPr>
        <w:jc w:val="both"/>
      </w:pPr>
      <w:tblPr/>
      <w:tcPr>
        <w:tcBorders>
          <w:top w:val="nil"/>
          <w:left w:val="nil"/>
          <w:bottom w:val="single" w:sz="12" w:space="0" w:color="auto"/>
          <w:right w:val="nil"/>
        </w:tcBorders>
        <w:shd w:val="clear" w:color="auto" w:fill="auto"/>
      </w:tcPr>
    </w:tblStylePr>
  </w:style>
  <w:style w:type="table" w:customStyle="1" w:styleId="sxb">
    <w:name w:val="sxb"/>
    <w:basedOn w:val="a1"/>
    <w:uiPriority w:val="99"/>
    <w:qFormat/>
    <w:pPr>
      <w:jc w:val="center"/>
    </w:pPr>
    <w:rPr>
      <w:rFonts w:eastAsia="华文宋体"/>
      <w:szCs w:val="21"/>
    </w:rPr>
    <w:tblPr>
      <w:tblBorders>
        <w:top w:val="single" w:sz="8" w:space="0" w:color="auto"/>
        <w:bottom w:val="single" w:sz="8" w:space="0" w:color="auto"/>
        <w:insideH w:val="single" w:sz="4" w:space="0" w:color="auto"/>
      </w:tblBorders>
    </w:tblPr>
    <w:tcPr>
      <w:vAlign w:val="center"/>
    </w:tcPr>
  </w:style>
  <w:style w:type="character" w:customStyle="1" w:styleId="30">
    <w:name w:val="标题 3 字符"/>
    <w:basedOn w:val="a0"/>
    <w:link w:val="3"/>
    <w:uiPriority w:val="9"/>
    <w:qFormat/>
    <w:rPr>
      <w:rFonts w:ascii="Times New Roman" w:eastAsia="宋体" w:hAnsi="Times New Roman" w:cs="Times New Roman"/>
      <w:b/>
      <w:bCs/>
      <w:kern w:val="0"/>
      <w:sz w:val="24"/>
      <w:szCs w:val="32"/>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3003</Words>
  <Characters>3003</Characters>
  <Application>Microsoft Office Word</Application>
  <DocSecurity>0</DocSecurity>
  <Lines>120</Lines>
  <Paragraphs>125</Paragraphs>
  <ScaleCrop>false</ScaleCrop>
  <Company/>
  <LinksUpToDate>false</LinksUpToDate>
  <CharactersWithSpaces>5881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刘航</dc:creator>
  <cp:lastModifiedBy>g h</cp:lastModifiedBy>
  <cp:revision>4</cp:revision>
  <dcterms:created xsi:type="dcterms:W3CDTF">2025-06-12T06:56:00Z</dcterms:created>
  <dcterms:modified xsi:type="dcterms:W3CDTF">2025-10-04T06:43:00Z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eyJoZGlkIjoiYTM5NDJmNDY3MDc4NWQ0YWM5OWEyNTZkMTMxZGIyOTMiLCJ1c2VySWQiOiIyOTU5OTA1NDYifQ==</vt:lpwstr>
  </property>
  <property fmtid="{D5CDD505-2E9C-101B-9397-08002B2CF9AE}" pid="3" name="KSOProductBuildVer">
    <vt:lpwstr>2052-12.1.0.22529</vt:lpwstr>
  </property>
  <property fmtid="{D5CDD505-2E9C-101B-9397-08002B2CF9AE}" pid="4" name="ICV">
    <vt:lpwstr>379A6953172D45ECBBF1345B63DADDB8_13</vt:lpwstr>
  </property>
</Properties>
</file>