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D8BDF">
      <w:pPr>
        <w:spacing w:line="254" w:lineRule="auto"/>
        <w:rPr>
          <w:rFonts w:ascii="Arial"/>
          <w:sz w:val="21"/>
        </w:rPr>
      </w:pPr>
    </w:p>
    <w:p w14:paraId="103A9524">
      <w:pPr>
        <w:spacing w:before="97" w:line="221" w:lineRule="auto"/>
        <w:ind w:left="1959"/>
        <w:outlineLvl w:val="0"/>
        <w:rPr>
          <w:rFonts w:hint="eastAsia" w:ascii="黑体" w:hAnsi="黑体" w:eastAsia="黑体" w:cs="黑体"/>
          <w:sz w:val="30"/>
          <w:szCs w:val="30"/>
          <w:lang w:eastAsia="zh-CN"/>
        </w:rPr>
      </w:pPr>
      <w:r>
        <w:rPr>
          <w:rFonts w:hint="eastAsia" w:ascii="黑体" w:hAnsi="黑体" w:eastAsia="黑体" w:cs="黑体"/>
          <w:b/>
          <w:bCs/>
          <w:spacing w:val="-3"/>
          <w:sz w:val="30"/>
          <w:szCs w:val="30"/>
          <w:lang w:eastAsia="zh-CN"/>
        </w:rPr>
        <w:t>山东好当家海洋发展股份有限公司</w:t>
      </w:r>
    </w:p>
    <w:p w14:paraId="7228DAD8">
      <w:pPr>
        <w:spacing w:before="264" w:line="221" w:lineRule="auto"/>
        <w:ind w:left="618"/>
        <w:rPr>
          <w:rFonts w:ascii="黑体" w:hAnsi="黑体" w:eastAsia="黑体" w:cs="黑体"/>
          <w:sz w:val="30"/>
          <w:szCs w:val="30"/>
        </w:rPr>
      </w:pPr>
      <w:r>
        <w:rPr>
          <w:rFonts w:ascii="黑体" w:hAnsi="黑体" w:eastAsia="黑体" w:cs="黑体"/>
          <w:b/>
          <w:bCs/>
          <w:spacing w:val="-4"/>
          <w:sz w:val="30"/>
          <w:szCs w:val="30"/>
        </w:rPr>
        <w:t>防范控股股东、实际控制人及关联方资金占用管理办法</w:t>
      </w:r>
    </w:p>
    <w:p w14:paraId="77F98E67">
      <w:pPr>
        <w:spacing w:line="266" w:lineRule="auto"/>
        <w:rPr>
          <w:rFonts w:ascii="Arial"/>
          <w:sz w:val="21"/>
        </w:rPr>
      </w:pPr>
    </w:p>
    <w:p w14:paraId="09343724">
      <w:pPr>
        <w:spacing w:line="266" w:lineRule="auto"/>
        <w:rPr>
          <w:rFonts w:ascii="Arial"/>
          <w:sz w:val="21"/>
        </w:rPr>
      </w:pPr>
    </w:p>
    <w:p w14:paraId="3A201ADA">
      <w:pPr>
        <w:spacing w:line="267" w:lineRule="auto"/>
        <w:rPr>
          <w:rFonts w:ascii="Arial"/>
          <w:sz w:val="21"/>
        </w:rPr>
      </w:pPr>
    </w:p>
    <w:p w14:paraId="13C0752A">
      <w:pPr>
        <w:spacing w:before="91" w:line="222" w:lineRule="auto"/>
        <w:ind w:left="3441"/>
        <w:outlineLvl w:val="0"/>
        <w:rPr>
          <w:rFonts w:ascii="黑体" w:hAnsi="黑体" w:eastAsia="黑体" w:cs="黑体"/>
          <w:sz w:val="28"/>
          <w:szCs w:val="28"/>
        </w:rPr>
      </w:pPr>
      <w:r>
        <w:rPr>
          <w:rFonts w:ascii="黑体" w:hAnsi="黑体" w:eastAsia="黑体" w:cs="黑体"/>
          <w:b/>
          <w:bCs/>
          <w:spacing w:val="-8"/>
          <w:sz w:val="28"/>
          <w:szCs w:val="28"/>
        </w:rPr>
        <w:t>第一章</w:t>
      </w:r>
      <w:r>
        <w:rPr>
          <w:rFonts w:ascii="黑体" w:hAnsi="黑体" w:eastAsia="黑体" w:cs="黑体"/>
          <w:spacing w:val="19"/>
          <w:sz w:val="28"/>
          <w:szCs w:val="28"/>
        </w:rPr>
        <w:t xml:space="preserve"> </w:t>
      </w:r>
      <w:r>
        <w:rPr>
          <w:rFonts w:ascii="黑体" w:hAnsi="黑体" w:eastAsia="黑体" w:cs="黑体"/>
          <w:b/>
          <w:bCs/>
          <w:spacing w:val="-8"/>
          <w:sz w:val="28"/>
          <w:szCs w:val="28"/>
        </w:rPr>
        <w:t>总则</w:t>
      </w:r>
    </w:p>
    <w:p w14:paraId="464351BB">
      <w:pPr>
        <w:pStyle w:val="2"/>
        <w:spacing w:before="231" w:line="342" w:lineRule="auto"/>
        <w:ind w:right="81" w:firstLine="480"/>
      </w:pPr>
      <w:r>
        <w:rPr>
          <w:rFonts w:ascii="黑体" w:hAnsi="黑体" w:eastAsia="黑体" w:cs="黑体"/>
          <w:b/>
          <w:bCs/>
          <w:spacing w:val="1"/>
        </w:rPr>
        <w:t>第一条</w:t>
      </w:r>
      <w:r>
        <w:rPr>
          <w:rFonts w:ascii="黑体" w:hAnsi="黑体" w:eastAsia="黑体" w:cs="黑体"/>
          <w:spacing w:val="1"/>
        </w:rPr>
        <w:t xml:space="preserve"> </w:t>
      </w:r>
      <w:r>
        <w:rPr>
          <w:spacing w:val="1"/>
        </w:rPr>
        <w:t>为规范</w:t>
      </w:r>
      <w:r>
        <w:rPr>
          <w:rFonts w:hint="eastAsia"/>
          <w:spacing w:val="1"/>
          <w:lang w:eastAsia="zh-CN"/>
        </w:rPr>
        <w:t>山东好当家海洋发展股份有限公司</w:t>
      </w:r>
      <w:r>
        <w:rPr>
          <w:spacing w:val="1"/>
        </w:rPr>
        <w:t>（以下简称“公司</w:t>
      </w:r>
      <w:r>
        <w:rPr>
          <w:spacing w:val="-85"/>
        </w:rPr>
        <w:t xml:space="preserve"> </w:t>
      </w:r>
      <w:r>
        <w:rPr>
          <w:spacing w:val="1"/>
        </w:rPr>
        <w:t>”）与</w:t>
      </w:r>
      <w:r>
        <w:t xml:space="preserve"> </w:t>
      </w:r>
      <w:r>
        <w:rPr>
          <w:spacing w:val="-1"/>
        </w:rPr>
        <w:t>控股股东、实际控制人及关联方资金往来，建立防范控股股</w:t>
      </w:r>
      <w:r>
        <w:rPr>
          <w:spacing w:val="-2"/>
        </w:rPr>
        <w:t>东、实际控制人及关</w:t>
      </w:r>
      <w:r>
        <w:t xml:space="preserve"> </w:t>
      </w:r>
      <w:r>
        <w:rPr>
          <w:spacing w:val="-1"/>
        </w:rPr>
        <w:t>联方占用公司资金的长效机制，杜绝控股股东、实际控制人</w:t>
      </w:r>
      <w:r>
        <w:rPr>
          <w:spacing w:val="-2"/>
        </w:rPr>
        <w:t>及关联方资金占用行</w:t>
      </w:r>
      <w:r>
        <w:t xml:space="preserve"> </w:t>
      </w:r>
      <w:r>
        <w:rPr>
          <w:spacing w:val="-1"/>
        </w:rPr>
        <w:t>为的发生，最大程度保护投资者的利益，根据《中华人民共</w:t>
      </w:r>
      <w:r>
        <w:rPr>
          <w:spacing w:val="-2"/>
        </w:rPr>
        <w:t>和国公司法》（以下</w:t>
      </w:r>
      <w:r>
        <w:t xml:space="preserve"> </w:t>
      </w:r>
      <w:r>
        <w:rPr>
          <w:spacing w:val="-1"/>
        </w:rPr>
        <w:t>简称“《公司法》”）、《中华人民共和国证券法》《</w:t>
      </w:r>
      <w:r>
        <w:rPr>
          <w:spacing w:val="-2"/>
        </w:rPr>
        <w:t>上海证券交易所股票上市</w:t>
      </w:r>
      <w:r>
        <w:t xml:space="preserve"> </w:t>
      </w:r>
      <w:r>
        <w:rPr>
          <w:spacing w:val="-1"/>
        </w:rPr>
        <w:t>规则》（以下简称“《上市规则》”）《上海证券交易所上</w:t>
      </w:r>
      <w:r>
        <w:rPr>
          <w:spacing w:val="-2"/>
        </w:rPr>
        <w:t>市公司自律监管指引</w:t>
      </w:r>
      <w:r>
        <w:t xml:space="preserve"> </w:t>
      </w:r>
      <w:r>
        <w:rPr>
          <w:spacing w:val="-2"/>
        </w:rPr>
        <w:t>第</w:t>
      </w:r>
      <w:r>
        <w:rPr>
          <w:spacing w:val="-33"/>
        </w:rPr>
        <w:t xml:space="preserve"> </w:t>
      </w:r>
      <w:r>
        <w:rPr>
          <w:spacing w:val="-2"/>
        </w:rPr>
        <w:t>1</w:t>
      </w:r>
      <w:r>
        <w:rPr>
          <w:spacing w:val="-45"/>
        </w:rPr>
        <w:t xml:space="preserve"> </w:t>
      </w:r>
      <w:r>
        <w:rPr>
          <w:spacing w:val="-2"/>
        </w:rPr>
        <w:t>号——规范运作》等法律法规、规章、</w:t>
      </w:r>
      <w:r>
        <w:rPr>
          <w:spacing w:val="-3"/>
        </w:rPr>
        <w:t>规范性文件及《塞力斯医疗科技集团</w:t>
      </w:r>
      <w:r>
        <w:t xml:space="preserve"> </w:t>
      </w:r>
      <w:r>
        <w:rPr>
          <w:spacing w:val="-1"/>
        </w:rPr>
        <w:t>股份有限公司章程》（以下简称“《公司章程》</w:t>
      </w:r>
      <w:r>
        <w:rPr>
          <w:spacing w:val="-88"/>
        </w:rPr>
        <w:t xml:space="preserve"> </w:t>
      </w:r>
      <w:r>
        <w:rPr>
          <w:spacing w:val="-1"/>
        </w:rPr>
        <w:t>”）的</w:t>
      </w:r>
      <w:r>
        <w:rPr>
          <w:spacing w:val="-2"/>
        </w:rPr>
        <w:t>规定，制定本办法。</w:t>
      </w:r>
    </w:p>
    <w:p w14:paraId="109DEC1A">
      <w:pPr>
        <w:pStyle w:val="2"/>
        <w:spacing w:before="183" w:line="290" w:lineRule="auto"/>
        <w:ind w:left="1" w:right="81" w:firstLine="479"/>
      </w:pPr>
      <w:r>
        <w:rPr>
          <w:rFonts w:ascii="黑体" w:hAnsi="黑体" w:eastAsia="黑体" w:cs="黑体"/>
          <w:b/>
          <w:bCs/>
          <w:spacing w:val="2"/>
        </w:rPr>
        <w:t>第二条</w:t>
      </w:r>
      <w:r>
        <w:rPr>
          <w:rFonts w:ascii="黑体" w:hAnsi="黑体" w:eastAsia="黑体" w:cs="黑体"/>
          <w:spacing w:val="2"/>
        </w:rPr>
        <w:t xml:space="preserve"> </w:t>
      </w:r>
      <w:r>
        <w:rPr>
          <w:spacing w:val="2"/>
        </w:rPr>
        <w:t xml:space="preserve">本办法所称控股股东、实际控制人及关联方，与现行有效之《公司 </w:t>
      </w:r>
      <w:r>
        <w:rPr>
          <w:spacing w:val="-1"/>
        </w:rPr>
        <w:t>法》《上市规则》具有相同的含义。</w:t>
      </w:r>
    </w:p>
    <w:p w14:paraId="1BD5E0EF">
      <w:pPr>
        <w:pStyle w:val="2"/>
        <w:spacing w:before="182" w:line="290" w:lineRule="auto"/>
        <w:ind w:right="83" w:firstLine="480"/>
      </w:pPr>
      <w:r>
        <w:rPr>
          <w:rFonts w:ascii="黑体" w:hAnsi="黑体" w:eastAsia="黑体" w:cs="黑体"/>
          <w:b/>
          <w:bCs/>
          <w:spacing w:val="2"/>
        </w:rPr>
        <w:t>第三条</w:t>
      </w:r>
      <w:r>
        <w:rPr>
          <w:rFonts w:ascii="黑体" w:hAnsi="黑体" w:eastAsia="黑体" w:cs="黑体"/>
          <w:spacing w:val="2"/>
        </w:rPr>
        <w:t xml:space="preserve"> </w:t>
      </w:r>
      <w:r>
        <w:rPr>
          <w:spacing w:val="2"/>
        </w:rPr>
        <w:t>本办法适用于公司（含合并报表范围内子公司）与控股股东、实际</w:t>
      </w:r>
      <w:r>
        <w:t xml:space="preserve"> </w:t>
      </w:r>
      <w:r>
        <w:rPr>
          <w:spacing w:val="-1"/>
        </w:rPr>
        <w:t>控制人及关联方之间的资金往来。</w:t>
      </w:r>
    </w:p>
    <w:p w14:paraId="4BE5795D">
      <w:pPr>
        <w:pStyle w:val="2"/>
        <w:spacing w:before="183" w:line="222" w:lineRule="auto"/>
        <w:jc w:val="right"/>
      </w:pPr>
      <w:r>
        <w:rPr>
          <w:rFonts w:ascii="黑体" w:hAnsi="黑体" w:eastAsia="黑体" w:cs="黑体"/>
          <w:b/>
          <w:bCs/>
          <w:spacing w:val="-3"/>
        </w:rPr>
        <w:t>第四条</w:t>
      </w:r>
      <w:r>
        <w:rPr>
          <w:rFonts w:ascii="黑体" w:hAnsi="黑体" w:eastAsia="黑体" w:cs="黑体"/>
          <w:spacing w:val="-3"/>
        </w:rPr>
        <w:t xml:space="preserve"> </w:t>
      </w:r>
      <w:r>
        <w:rPr>
          <w:spacing w:val="-3"/>
        </w:rPr>
        <w:t>控股股东、实际控制人及其他关联方不得以任何方式侵占公司利益。</w:t>
      </w:r>
    </w:p>
    <w:p w14:paraId="00E590CA">
      <w:pPr>
        <w:pStyle w:val="2"/>
        <w:spacing w:before="179" w:line="222" w:lineRule="auto"/>
        <w:ind w:left="480"/>
      </w:pPr>
      <w:r>
        <w:rPr>
          <w:rFonts w:ascii="黑体" w:hAnsi="黑体" w:eastAsia="黑体" w:cs="黑体"/>
          <w:b/>
          <w:bCs/>
          <w:spacing w:val="-1"/>
        </w:rPr>
        <w:t>第五条</w:t>
      </w:r>
      <w:r>
        <w:rPr>
          <w:rFonts w:ascii="黑体" w:hAnsi="黑体" w:eastAsia="黑体" w:cs="黑体"/>
          <w:spacing w:val="-1"/>
        </w:rPr>
        <w:t xml:space="preserve"> </w:t>
      </w:r>
      <w:r>
        <w:rPr>
          <w:spacing w:val="-1"/>
        </w:rPr>
        <w:t>本办法所称资金占用包括经营性资金占用和非经营性资金占用。</w:t>
      </w:r>
    </w:p>
    <w:p w14:paraId="7174E051">
      <w:pPr>
        <w:pStyle w:val="2"/>
        <w:spacing w:before="181" w:line="360" w:lineRule="auto"/>
        <w:ind w:left="60" w:right="81" w:firstLine="482"/>
      </w:pPr>
      <w:r>
        <w:rPr>
          <w:spacing w:val="-3"/>
        </w:rPr>
        <w:t>经营性资金占用指：控股股东、实际控制人及关联方通过采</w:t>
      </w:r>
      <w:r>
        <w:rPr>
          <w:spacing w:val="-4"/>
        </w:rPr>
        <w:t>购、销售、相互</w:t>
      </w:r>
      <w:r>
        <w:t xml:space="preserve"> </w:t>
      </w:r>
      <w:r>
        <w:rPr>
          <w:spacing w:val="-1"/>
        </w:rPr>
        <w:t>提供劳务等生产经营环节的关联交易产生的资金占用。</w:t>
      </w:r>
    </w:p>
    <w:p w14:paraId="77F05F97">
      <w:pPr>
        <w:pStyle w:val="2"/>
        <w:spacing w:before="4" w:line="360" w:lineRule="auto"/>
        <w:ind w:left="60" w:right="17" w:firstLine="484"/>
        <w:jc w:val="both"/>
      </w:pPr>
      <w:r>
        <w:rPr>
          <w:spacing w:val="-1"/>
        </w:rPr>
        <w:t>非经营性资金占用指：为控股股东、实际控制人</w:t>
      </w:r>
      <w:r>
        <w:rPr>
          <w:spacing w:val="-2"/>
        </w:rPr>
        <w:t>及关联方垫付工资与福利、</w:t>
      </w:r>
      <w:r>
        <w:t xml:space="preserve"> </w:t>
      </w:r>
      <w:r>
        <w:rPr>
          <w:spacing w:val="-8"/>
        </w:rPr>
        <w:t>保险、广告等期间费用；为控股股东、实际控制人及关联方以有偿或无偿的方式，</w:t>
      </w:r>
      <w:r>
        <w:rPr>
          <w:spacing w:val="8"/>
        </w:rPr>
        <w:t xml:space="preserve"> </w:t>
      </w:r>
      <w:r>
        <w:rPr>
          <w:spacing w:val="-3"/>
        </w:rPr>
        <w:t>直接或间接地拆借资金；代偿债务及其他在没有商品和劳务对价情况下，提供给</w:t>
      </w:r>
      <w:r>
        <w:rPr>
          <w:spacing w:val="1"/>
        </w:rPr>
        <w:t xml:space="preserve"> </w:t>
      </w:r>
      <w:r>
        <w:rPr>
          <w:spacing w:val="-3"/>
        </w:rPr>
        <w:t>控股股东、实际控制人及关联方使用的资金；与控股股东、实际控制人及关联方</w:t>
      </w:r>
      <w:r>
        <w:rPr>
          <w:spacing w:val="1"/>
        </w:rPr>
        <w:t xml:space="preserve"> </w:t>
      </w:r>
      <w:r>
        <w:rPr>
          <w:spacing w:val="-1"/>
        </w:rPr>
        <w:t>互相代为承担成本和其他支出等。</w:t>
      </w:r>
    </w:p>
    <w:p w14:paraId="4B079A53">
      <w:pPr>
        <w:spacing w:line="360" w:lineRule="auto"/>
        <w:sectPr>
          <w:headerReference r:id="rId5" w:type="default"/>
          <w:pgSz w:w="11906" w:h="16839"/>
          <w:pgMar w:top="1107" w:right="1718" w:bottom="0" w:left="1748" w:header="830" w:footer="0" w:gutter="0"/>
          <w:cols w:space="720" w:num="1"/>
        </w:sectPr>
      </w:pPr>
    </w:p>
    <w:p w14:paraId="3794CF7C">
      <w:pPr>
        <w:spacing w:line="411" w:lineRule="auto"/>
        <w:rPr>
          <w:rFonts w:ascii="Arial"/>
          <w:sz w:val="21"/>
        </w:rPr>
      </w:pPr>
    </w:p>
    <w:p w14:paraId="6A42B961">
      <w:pPr>
        <w:spacing w:before="91" w:line="222" w:lineRule="auto"/>
        <w:ind w:left="349"/>
        <w:outlineLvl w:val="0"/>
        <w:rPr>
          <w:rFonts w:ascii="黑体" w:hAnsi="黑体" w:eastAsia="黑体" w:cs="黑体"/>
          <w:sz w:val="28"/>
          <w:szCs w:val="28"/>
        </w:rPr>
      </w:pPr>
      <w:r>
        <w:rPr>
          <w:rFonts w:ascii="黑体" w:hAnsi="黑体" w:eastAsia="黑体" w:cs="黑体"/>
          <w:b/>
          <w:bCs/>
          <w:spacing w:val="-2"/>
          <w:sz w:val="28"/>
          <w:szCs w:val="28"/>
        </w:rPr>
        <w:t>第二章</w:t>
      </w:r>
      <w:r>
        <w:rPr>
          <w:rFonts w:ascii="黑体" w:hAnsi="黑体" w:eastAsia="黑体" w:cs="黑体"/>
          <w:spacing w:val="-2"/>
          <w:sz w:val="28"/>
          <w:szCs w:val="28"/>
        </w:rPr>
        <w:t xml:space="preserve"> </w:t>
      </w:r>
      <w:r>
        <w:rPr>
          <w:rFonts w:ascii="黑体" w:hAnsi="黑体" w:eastAsia="黑体" w:cs="黑体"/>
          <w:b/>
          <w:bCs/>
          <w:spacing w:val="-2"/>
          <w:sz w:val="28"/>
          <w:szCs w:val="28"/>
        </w:rPr>
        <w:t>公司与控股股东、实际控制人及关联方资金</w:t>
      </w:r>
      <w:r>
        <w:rPr>
          <w:rFonts w:ascii="黑体" w:hAnsi="黑体" w:eastAsia="黑体" w:cs="黑体"/>
          <w:b/>
          <w:bCs/>
          <w:spacing w:val="-3"/>
          <w:sz w:val="28"/>
          <w:szCs w:val="28"/>
        </w:rPr>
        <w:t>往来的规范</w:t>
      </w:r>
    </w:p>
    <w:p w14:paraId="433A8354">
      <w:pPr>
        <w:pStyle w:val="2"/>
        <w:spacing w:before="228" w:line="290" w:lineRule="auto"/>
        <w:ind w:left="3" w:right="256" w:firstLine="476"/>
      </w:pPr>
      <w:r>
        <w:rPr>
          <w:rFonts w:ascii="黑体" w:hAnsi="黑体" w:eastAsia="黑体" w:cs="黑体"/>
          <w:b/>
          <w:bCs/>
        </w:rPr>
        <w:t>第六条</w:t>
      </w:r>
      <w:r>
        <w:rPr>
          <w:rFonts w:ascii="黑体" w:hAnsi="黑体" w:eastAsia="黑体" w:cs="黑体"/>
        </w:rPr>
        <w:t xml:space="preserve"> </w:t>
      </w:r>
      <w:r>
        <w:t>公司与控股股东、实际控制人及关联方发生的经营性资金往来中，</w:t>
      </w:r>
      <w:r>
        <w:rPr>
          <w:spacing w:val="11"/>
        </w:rPr>
        <w:t xml:space="preserve"> </w:t>
      </w:r>
      <w:r>
        <w:rPr>
          <w:spacing w:val="-2"/>
        </w:rPr>
        <w:t>不得占用公司资金。</w:t>
      </w:r>
    </w:p>
    <w:p w14:paraId="640BEE86">
      <w:pPr>
        <w:pStyle w:val="2"/>
        <w:spacing w:before="181" w:line="325" w:lineRule="auto"/>
        <w:ind w:right="200" w:firstLine="479"/>
      </w:pPr>
      <w:r>
        <w:rPr>
          <w:rFonts w:ascii="黑体" w:hAnsi="黑体" w:eastAsia="黑体" w:cs="黑体"/>
          <w:b/>
          <w:bCs/>
          <w:spacing w:val="2"/>
        </w:rPr>
        <w:t>第七条</w:t>
      </w:r>
      <w:r>
        <w:rPr>
          <w:rFonts w:ascii="黑体" w:hAnsi="黑体" w:eastAsia="黑体" w:cs="黑体"/>
          <w:spacing w:val="2"/>
        </w:rPr>
        <w:t xml:space="preserve"> </w:t>
      </w:r>
      <w:r>
        <w:rPr>
          <w:spacing w:val="2"/>
        </w:rPr>
        <w:t>公司及合并报表范围内子公司与公司控股股东、实际控制人及关联</w:t>
      </w:r>
      <w:r>
        <w:t xml:space="preserve"> </w:t>
      </w:r>
      <w:r>
        <w:rPr>
          <w:spacing w:val="-1"/>
        </w:rPr>
        <w:t>方开展采购、销售等经营性关联交易事项时，必须签订有</w:t>
      </w:r>
      <w:r>
        <w:rPr>
          <w:spacing w:val="-2"/>
        </w:rPr>
        <w:t>真实交易背景的经济合</w:t>
      </w:r>
      <w:r>
        <w:t xml:space="preserve"> </w:t>
      </w:r>
      <w:r>
        <w:rPr>
          <w:spacing w:val="-1"/>
        </w:rPr>
        <w:t>同。由于市场原因，致使已签订的合同无法如期执行的，</w:t>
      </w:r>
      <w:r>
        <w:rPr>
          <w:spacing w:val="-2"/>
        </w:rPr>
        <w:t>应详细说明无法履行合</w:t>
      </w:r>
      <w:r>
        <w:t xml:space="preserve"> 同的实际情况，经合同双方协商后解除合同，作</w:t>
      </w:r>
      <w:r>
        <w:rPr>
          <w:spacing w:val="-1"/>
        </w:rPr>
        <w:t>为已预付货款退回的依据。</w:t>
      </w:r>
    </w:p>
    <w:p w14:paraId="5DF74BD3">
      <w:pPr>
        <w:pStyle w:val="2"/>
        <w:spacing w:before="182" w:line="290" w:lineRule="auto"/>
        <w:ind w:right="200" w:firstLine="480"/>
      </w:pPr>
      <w:r>
        <w:rPr>
          <w:rFonts w:ascii="黑体" w:hAnsi="黑体" w:eastAsia="黑体" w:cs="黑体"/>
          <w:b/>
          <w:bCs/>
          <w:spacing w:val="2"/>
        </w:rPr>
        <w:t>第八条</w:t>
      </w:r>
      <w:r>
        <w:rPr>
          <w:rFonts w:ascii="黑体" w:hAnsi="黑体" w:eastAsia="黑体" w:cs="黑体"/>
          <w:spacing w:val="2"/>
        </w:rPr>
        <w:t xml:space="preserve"> </w:t>
      </w:r>
      <w:r>
        <w:rPr>
          <w:spacing w:val="2"/>
        </w:rPr>
        <w:t xml:space="preserve">公司不得以下列方式将资金直接或间接地提供给控股股东、实际控 </w:t>
      </w:r>
      <w:r>
        <w:rPr>
          <w:spacing w:val="-2"/>
        </w:rPr>
        <w:t>制人及关联方使用：</w:t>
      </w:r>
    </w:p>
    <w:p w14:paraId="19A2D3F9">
      <w:pPr>
        <w:pStyle w:val="2"/>
        <w:spacing w:before="183" w:line="360" w:lineRule="auto"/>
        <w:ind w:left="60" w:right="200" w:firstLine="491"/>
      </w:pPr>
      <w:r>
        <w:rPr>
          <w:spacing w:val="-4"/>
        </w:rPr>
        <w:t>（一）为控股股东、实际控制人及关联方垫支工资、福利、保险、广告等费</w:t>
      </w:r>
      <w:r>
        <w:rPr>
          <w:spacing w:val="16"/>
        </w:rPr>
        <w:t xml:space="preserve"> </w:t>
      </w:r>
      <w:r>
        <w:rPr>
          <w:spacing w:val="-1"/>
        </w:rPr>
        <w:t>用，承担成本和其他支出；</w:t>
      </w:r>
    </w:p>
    <w:p w14:paraId="786ECDE1">
      <w:pPr>
        <w:pStyle w:val="2"/>
        <w:spacing w:before="4" w:line="359" w:lineRule="auto"/>
        <w:ind w:left="46" w:right="200" w:firstLine="505"/>
        <w:jc w:val="both"/>
      </w:pPr>
      <w:r>
        <w:rPr>
          <w:spacing w:val="-4"/>
        </w:rPr>
        <w:t>（二）有偿或无偿地拆借公司的资金（含委托贷款）给控股股东、实际控制</w:t>
      </w:r>
      <w:r>
        <w:rPr>
          <w:spacing w:val="16"/>
        </w:rPr>
        <w:t xml:space="preserve"> </w:t>
      </w:r>
      <w:r>
        <w:rPr>
          <w:spacing w:val="-3"/>
        </w:rPr>
        <w:t>人及关联方使用，但公司参股公司的其他股东同比例提供资金的除外。前述所称</w:t>
      </w:r>
      <w:r>
        <w:rPr>
          <w:spacing w:val="14"/>
        </w:rPr>
        <w:t xml:space="preserve"> </w:t>
      </w:r>
      <w:r>
        <w:rPr>
          <w:spacing w:val="-1"/>
        </w:rPr>
        <w:t>“参股公司</w:t>
      </w:r>
      <w:r>
        <w:rPr>
          <w:spacing w:val="-88"/>
        </w:rPr>
        <w:t xml:space="preserve"> </w:t>
      </w:r>
      <w:r>
        <w:rPr>
          <w:spacing w:val="-1"/>
        </w:rPr>
        <w:t>”，不包括由控股股东、实际控制人控制的公</w:t>
      </w:r>
      <w:r>
        <w:rPr>
          <w:spacing w:val="-2"/>
        </w:rPr>
        <w:t>司；</w:t>
      </w:r>
    </w:p>
    <w:p w14:paraId="5DF7AD99">
      <w:pPr>
        <w:pStyle w:val="2"/>
        <w:spacing w:before="1" w:line="218" w:lineRule="auto"/>
        <w:ind w:left="551"/>
      </w:pPr>
      <w:r>
        <w:rPr>
          <w:spacing w:val="-1"/>
        </w:rPr>
        <w:t>（三）委托控股股东、实际控制人及关联方进行投资活动；</w:t>
      </w:r>
    </w:p>
    <w:p w14:paraId="05C7D1FA">
      <w:pPr>
        <w:pStyle w:val="2"/>
        <w:spacing w:before="182" w:line="313" w:lineRule="auto"/>
        <w:ind w:left="60" w:firstLine="491"/>
      </w:pPr>
      <w:r>
        <w:rPr>
          <w:spacing w:val="-4"/>
        </w:rPr>
        <w:t>（四）为控股股东、实际控制人及关联方开具没有真实交易背景的商业承兑</w:t>
      </w:r>
      <w:r>
        <w:rPr>
          <w:spacing w:val="8"/>
        </w:rPr>
        <w:t xml:space="preserve">  </w:t>
      </w:r>
      <w:r>
        <w:rPr>
          <w:spacing w:val="-4"/>
        </w:rPr>
        <w:t>汇票，以及在没有商品和劳务对价情况下或者明显有悖商业逻辑情况下以采购款、</w:t>
      </w:r>
      <w:r>
        <w:t xml:space="preserve"> </w:t>
      </w:r>
      <w:r>
        <w:rPr>
          <w:spacing w:val="-1"/>
        </w:rPr>
        <w:t>资产转让款、预付款等方式提供资金；</w:t>
      </w:r>
    </w:p>
    <w:p w14:paraId="44C622F9">
      <w:pPr>
        <w:pStyle w:val="2"/>
        <w:spacing w:before="184" w:line="219" w:lineRule="auto"/>
        <w:ind w:left="551"/>
      </w:pPr>
      <w:r>
        <w:rPr>
          <w:spacing w:val="-1"/>
        </w:rPr>
        <w:t>（五）代控股股东、实际控制人及关联方偿还债务；</w:t>
      </w:r>
    </w:p>
    <w:p w14:paraId="536B54B6">
      <w:pPr>
        <w:pStyle w:val="2"/>
        <w:spacing w:before="184" w:line="290" w:lineRule="auto"/>
        <w:ind w:left="62" w:right="200" w:firstLine="488"/>
      </w:pPr>
      <w:r>
        <w:rPr>
          <w:spacing w:val="-5"/>
        </w:rPr>
        <w:t>（六）中国证券监督管理委员会（以下简称“</w:t>
      </w:r>
      <w:r>
        <w:rPr>
          <w:spacing w:val="-90"/>
        </w:rPr>
        <w:t xml:space="preserve"> </w:t>
      </w:r>
      <w:r>
        <w:rPr>
          <w:spacing w:val="-6"/>
        </w:rPr>
        <w:t>中国证监会</w:t>
      </w:r>
      <w:r>
        <w:rPr>
          <w:spacing w:val="-88"/>
        </w:rPr>
        <w:t xml:space="preserve"> </w:t>
      </w:r>
      <w:r>
        <w:rPr>
          <w:spacing w:val="-6"/>
        </w:rPr>
        <w:t>”）认定的其他方</w:t>
      </w:r>
      <w:r>
        <w:t xml:space="preserve"> </w:t>
      </w:r>
      <w:r>
        <w:rPr>
          <w:spacing w:val="-7"/>
        </w:rPr>
        <w:t>式。</w:t>
      </w:r>
    </w:p>
    <w:p w14:paraId="0C6B0C77">
      <w:pPr>
        <w:pStyle w:val="2"/>
        <w:spacing w:before="179" w:line="326" w:lineRule="auto"/>
        <w:ind w:right="200" w:firstLine="480"/>
      </w:pPr>
      <w:r>
        <w:rPr>
          <w:rFonts w:ascii="黑体" w:hAnsi="黑体" w:eastAsia="黑体" w:cs="黑体"/>
          <w:b/>
          <w:bCs/>
          <w:spacing w:val="2"/>
        </w:rPr>
        <w:t>第九条</w:t>
      </w:r>
      <w:r>
        <w:rPr>
          <w:rFonts w:ascii="黑体" w:hAnsi="黑体" w:eastAsia="黑体" w:cs="黑体"/>
          <w:spacing w:val="2"/>
        </w:rPr>
        <w:t xml:space="preserve"> </w:t>
      </w:r>
      <w:r>
        <w:rPr>
          <w:spacing w:val="2"/>
        </w:rPr>
        <w:t xml:space="preserve">公司与控股股东、实际控制人及关联方发生的关联交易必须严格按 </w:t>
      </w:r>
      <w:r>
        <w:rPr>
          <w:spacing w:val="-2"/>
        </w:rPr>
        <w:t>照《上市规则》《上海证券交易所上市公司自律监管指引第</w:t>
      </w:r>
      <w:r>
        <w:rPr>
          <w:spacing w:val="-46"/>
        </w:rPr>
        <w:t xml:space="preserve"> </w:t>
      </w:r>
      <w:r>
        <w:rPr>
          <w:spacing w:val="-2"/>
        </w:rPr>
        <w:t>5</w:t>
      </w:r>
      <w:r>
        <w:rPr>
          <w:spacing w:val="-44"/>
        </w:rPr>
        <w:t xml:space="preserve"> </w:t>
      </w:r>
      <w:r>
        <w:rPr>
          <w:spacing w:val="-2"/>
        </w:rPr>
        <w:t>号——交</w:t>
      </w:r>
      <w:r>
        <w:rPr>
          <w:spacing w:val="-3"/>
        </w:rPr>
        <w:t>易与关联</w:t>
      </w:r>
      <w:r>
        <w:t xml:space="preserve"> </w:t>
      </w:r>
      <w:r>
        <w:rPr>
          <w:spacing w:val="-1"/>
        </w:rPr>
        <w:t>交易》等法律法规、规章、规范性文件及《公司章程》等的</w:t>
      </w:r>
      <w:r>
        <w:rPr>
          <w:spacing w:val="-2"/>
        </w:rPr>
        <w:t>规定，进行决策和实</w:t>
      </w:r>
      <w:r>
        <w:t xml:space="preserve"> </w:t>
      </w:r>
      <w:r>
        <w:rPr>
          <w:spacing w:val="-5"/>
        </w:rPr>
        <w:t>施。</w:t>
      </w:r>
    </w:p>
    <w:p w14:paraId="2BDF2F1C">
      <w:pPr>
        <w:pStyle w:val="2"/>
        <w:spacing w:before="179" w:line="222" w:lineRule="auto"/>
        <w:ind w:left="480"/>
      </w:pPr>
      <w:r>
        <w:rPr>
          <w:rFonts w:ascii="黑体" w:hAnsi="黑体" w:eastAsia="黑体" w:cs="黑体"/>
          <w:b/>
          <w:bCs/>
          <w:spacing w:val="-1"/>
        </w:rPr>
        <w:t>第十条</w:t>
      </w:r>
      <w:r>
        <w:rPr>
          <w:rFonts w:ascii="黑体" w:hAnsi="黑体" w:eastAsia="黑体" w:cs="黑体"/>
          <w:spacing w:val="-1"/>
        </w:rPr>
        <w:t xml:space="preserve"> </w:t>
      </w:r>
      <w:r>
        <w:rPr>
          <w:spacing w:val="-1"/>
        </w:rPr>
        <w:t>公司应当加强规范关联担保行为，严格控制风险：</w:t>
      </w:r>
    </w:p>
    <w:p w14:paraId="4A0038CD">
      <w:pPr>
        <w:pStyle w:val="2"/>
        <w:spacing w:before="180" w:line="289" w:lineRule="auto"/>
        <w:ind w:left="63" w:right="163" w:firstLine="487"/>
      </w:pPr>
      <w:r>
        <w:rPr>
          <w:spacing w:val="-2"/>
        </w:rPr>
        <w:t>（一）公司对控股股东、实际控制人及关联方</w:t>
      </w:r>
      <w:r>
        <w:rPr>
          <w:spacing w:val="-3"/>
        </w:rPr>
        <w:t>提供的担保，无论数额大小，</w:t>
      </w:r>
      <w:r>
        <w:t xml:space="preserve"> </w:t>
      </w:r>
      <w:r>
        <w:rPr>
          <w:spacing w:val="-1"/>
        </w:rPr>
        <w:t>必须经董事会审议通过后提交股东会审批；</w:t>
      </w:r>
    </w:p>
    <w:p w14:paraId="0EF4A45A">
      <w:pPr>
        <w:pStyle w:val="2"/>
        <w:spacing w:before="185" w:line="219" w:lineRule="auto"/>
        <w:ind w:left="551"/>
      </w:pPr>
      <w:r>
        <w:rPr>
          <w:spacing w:val="-4"/>
        </w:rPr>
        <w:t>（二）审议关联担保时，关联董事及关联股东必须履行回避表决程序，该项</w:t>
      </w:r>
    </w:p>
    <w:p w14:paraId="2A1D8FE3">
      <w:pPr>
        <w:spacing w:line="219" w:lineRule="auto"/>
        <w:sectPr>
          <w:headerReference r:id="rId6" w:type="default"/>
          <w:pgSz w:w="11906" w:h="16839"/>
          <w:pgMar w:top="1107" w:right="1599" w:bottom="0" w:left="1749" w:header="830" w:footer="0" w:gutter="0"/>
          <w:cols w:space="720" w:num="1"/>
        </w:sectPr>
      </w:pPr>
    </w:p>
    <w:p w14:paraId="22E30B31">
      <w:pPr>
        <w:spacing w:line="367" w:lineRule="auto"/>
        <w:rPr>
          <w:rFonts w:ascii="Arial"/>
          <w:sz w:val="21"/>
        </w:rPr>
      </w:pPr>
    </w:p>
    <w:p w14:paraId="29AF9960">
      <w:pPr>
        <w:pStyle w:val="2"/>
        <w:spacing w:before="78" w:line="218" w:lineRule="auto"/>
        <w:ind w:left="60"/>
      </w:pPr>
      <w:r>
        <w:rPr>
          <w:spacing w:val="-1"/>
        </w:rPr>
        <w:t>表决由出席股东会的其他股东所持表决权的半数以上通过；</w:t>
      </w:r>
    </w:p>
    <w:p w14:paraId="3B386649">
      <w:pPr>
        <w:pStyle w:val="2"/>
        <w:spacing w:before="183" w:line="360" w:lineRule="auto"/>
        <w:ind w:left="78" w:right="63" w:firstLine="474"/>
      </w:pPr>
      <w:r>
        <w:rPr>
          <w:spacing w:val="-4"/>
        </w:rPr>
        <w:t>（三）公司为控股股东、实际控制人及其关联方提供担保的，控股股东、实</w:t>
      </w:r>
      <w:r>
        <w:rPr>
          <w:spacing w:val="16"/>
        </w:rPr>
        <w:t xml:space="preserve"> </w:t>
      </w:r>
      <w:r>
        <w:rPr>
          <w:spacing w:val="-2"/>
        </w:rPr>
        <w:t>际控制人及其关联方应当提供反担保。</w:t>
      </w:r>
    </w:p>
    <w:p w14:paraId="1B77EA07">
      <w:pPr>
        <w:pStyle w:val="2"/>
        <w:spacing w:before="1" w:line="360" w:lineRule="auto"/>
        <w:ind w:left="60" w:right="63" w:firstLine="481"/>
        <w:jc w:val="both"/>
      </w:pPr>
      <w:r>
        <w:rPr>
          <w:rFonts w:ascii="黑体" w:hAnsi="黑体" w:eastAsia="黑体" w:cs="黑体"/>
          <w:b/>
          <w:bCs/>
        </w:rPr>
        <w:t>第十一条</w:t>
      </w:r>
      <w:r>
        <w:rPr>
          <w:rFonts w:ascii="黑体" w:hAnsi="黑体" w:eastAsia="黑体" w:cs="黑体"/>
        </w:rPr>
        <w:t xml:space="preserve"> </w:t>
      </w:r>
      <w:r>
        <w:t>注册会计师在为公司年度财务会计报告进行审计工作中，应当根</w:t>
      </w:r>
      <w:r>
        <w:rPr>
          <w:spacing w:val="5"/>
        </w:rPr>
        <w:t xml:space="preserve"> </w:t>
      </w:r>
      <w:r>
        <w:rPr>
          <w:spacing w:val="-3"/>
        </w:rPr>
        <w:t>据规定，对公司存在控股股东、实际控制人及其他关联方占用资金的情况出具专</w:t>
      </w:r>
      <w:r>
        <w:rPr>
          <w:spacing w:val="2"/>
        </w:rPr>
        <w:t xml:space="preserve"> </w:t>
      </w:r>
      <w:r>
        <w:rPr>
          <w:spacing w:val="-1"/>
        </w:rPr>
        <w:t>项说明，公司应当就专项说明作出公告。</w:t>
      </w:r>
    </w:p>
    <w:p w14:paraId="4178CB2C">
      <w:pPr>
        <w:spacing w:line="430" w:lineRule="auto"/>
        <w:rPr>
          <w:rFonts w:ascii="Arial"/>
          <w:sz w:val="21"/>
        </w:rPr>
      </w:pPr>
    </w:p>
    <w:p w14:paraId="043F0764">
      <w:pPr>
        <w:spacing w:before="91" w:line="222" w:lineRule="auto"/>
        <w:ind w:left="2739"/>
        <w:outlineLvl w:val="0"/>
        <w:rPr>
          <w:rFonts w:ascii="黑体" w:hAnsi="黑体" w:eastAsia="黑体" w:cs="黑体"/>
          <w:sz w:val="28"/>
          <w:szCs w:val="28"/>
        </w:rPr>
      </w:pPr>
      <w:r>
        <w:rPr>
          <w:rFonts w:ascii="黑体" w:hAnsi="黑体" w:eastAsia="黑体" w:cs="黑体"/>
          <w:b/>
          <w:bCs/>
          <w:spacing w:val="-3"/>
          <w:sz w:val="28"/>
          <w:szCs w:val="28"/>
        </w:rPr>
        <w:t>第三章</w:t>
      </w:r>
      <w:r>
        <w:rPr>
          <w:rFonts w:ascii="黑体" w:hAnsi="黑体" w:eastAsia="黑体" w:cs="黑体"/>
          <w:spacing w:val="-3"/>
          <w:sz w:val="28"/>
          <w:szCs w:val="28"/>
        </w:rPr>
        <w:t xml:space="preserve"> </w:t>
      </w:r>
      <w:r>
        <w:rPr>
          <w:rFonts w:ascii="黑体" w:hAnsi="黑体" w:eastAsia="黑体" w:cs="黑体"/>
          <w:b/>
          <w:bCs/>
          <w:spacing w:val="-3"/>
          <w:sz w:val="28"/>
          <w:szCs w:val="28"/>
        </w:rPr>
        <w:t>管理责任和措施</w:t>
      </w:r>
    </w:p>
    <w:p w14:paraId="3B0F0743">
      <w:pPr>
        <w:pStyle w:val="2"/>
        <w:spacing w:before="229" w:line="313" w:lineRule="auto"/>
        <w:ind w:left="1" w:right="63" w:firstLine="480"/>
      </w:pPr>
      <w:r>
        <w:rPr>
          <w:rFonts w:ascii="黑体" w:hAnsi="黑体" w:eastAsia="黑体" w:cs="黑体"/>
          <w:b/>
          <w:bCs/>
          <w:spacing w:val="2"/>
        </w:rPr>
        <w:t>第十二条</w:t>
      </w:r>
      <w:r>
        <w:rPr>
          <w:rFonts w:ascii="黑体" w:hAnsi="黑体" w:eastAsia="黑体" w:cs="黑体"/>
          <w:spacing w:val="2"/>
        </w:rPr>
        <w:t xml:space="preserve"> </w:t>
      </w:r>
      <w:r>
        <w:rPr>
          <w:spacing w:val="2"/>
        </w:rPr>
        <w:t>公司严格防止控股股东、实际控制人及关联方的非经营性资金占</w:t>
      </w:r>
      <w:r>
        <w:t xml:space="preserve"> </w:t>
      </w:r>
      <w:r>
        <w:rPr>
          <w:spacing w:val="-1"/>
        </w:rPr>
        <w:t>用的行为，并将持续性完善本办法，做好控股股东、实际控</w:t>
      </w:r>
      <w:r>
        <w:rPr>
          <w:spacing w:val="-2"/>
        </w:rPr>
        <w:t>制人及关联方违规资</w:t>
      </w:r>
      <w:r>
        <w:t xml:space="preserve"> </w:t>
      </w:r>
      <w:r>
        <w:rPr>
          <w:spacing w:val="-2"/>
        </w:rPr>
        <w:t>金占用的长效机制。</w:t>
      </w:r>
    </w:p>
    <w:p w14:paraId="51484ACD">
      <w:pPr>
        <w:pStyle w:val="2"/>
        <w:spacing w:before="184" w:line="313" w:lineRule="auto"/>
        <w:ind w:right="63" w:firstLine="481"/>
      </w:pPr>
      <w:r>
        <w:rPr>
          <w:rFonts w:ascii="黑体" w:hAnsi="黑体" w:eastAsia="黑体" w:cs="黑体"/>
          <w:b/>
          <w:bCs/>
          <w:spacing w:val="2"/>
        </w:rPr>
        <w:t>第十三条</w:t>
      </w:r>
      <w:r>
        <w:rPr>
          <w:rFonts w:ascii="黑体" w:hAnsi="黑体" w:eastAsia="黑体" w:cs="黑体"/>
          <w:spacing w:val="2"/>
        </w:rPr>
        <w:t xml:space="preserve"> </w:t>
      </w:r>
      <w:r>
        <w:rPr>
          <w:spacing w:val="2"/>
        </w:rPr>
        <w:t>公司董事、高级管理人员及各子公司董事长、总经理应按</w:t>
      </w:r>
      <w:r>
        <w:rPr>
          <w:spacing w:val="1"/>
        </w:rPr>
        <w:t>照《公</w:t>
      </w:r>
      <w:r>
        <w:t xml:space="preserve"> </w:t>
      </w:r>
      <w:r>
        <w:rPr>
          <w:spacing w:val="-1"/>
        </w:rPr>
        <w:t>司章程》《董事会议事规则》《经理工作细则》等有关规定勤</w:t>
      </w:r>
      <w:r>
        <w:rPr>
          <w:spacing w:val="-2"/>
        </w:rPr>
        <w:t>勉尽职履行自己的</w:t>
      </w:r>
      <w:r>
        <w:t xml:space="preserve"> </w:t>
      </w:r>
      <w:r>
        <w:rPr>
          <w:spacing w:val="-1"/>
        </w:rPr>
        <w:t>职责，维护公司资金和财产安全。</w:t>
      </w:r>
    </w:p>
    <w:p w14:paraId="2053EE9F">
      <w:pPr>
        <w:pStyle w:val="2"/>
        <w:spacing w:before="181" w:line="332" w:lineRule="auto"/>
        <w:ind w:right="63" w:firstLine="480"/>
      </w:pPr>
      <w:r>
        <w:rPr>
          <w:rFonts w:ascii="黑体" w:hAnsi="黑体" w:eastAsia="黑体" w:cs="黑体"/>
          <w:b/>
          <w:bCs/>
          <w:spacing w:val="2"/>
        </w:rPr>
        <w:t>第十四条</w:t>
      </w:r>
      <w:r>
        <w:rPr>
          <w:rFonts w:ascii="黑体" w:hAnsi="黑体" w:eastAsia="黑体" w:cs="黑体"/>
          <w:spacing w:val="2"/>
        </w:rPr>
        <w:t xml:space="preserve"> </w:t>
      </w:r>
      <w:r>
        <w:rPr>
          <w:spacing w:val="2"/>
        </w:rPr>
        <w:t>公司董事、高级管理人员有义务关注公司是否存在被关联方挪用</w:t>
      </w:r>
      <w:r>
        <w:t xml:space="preserve"> </w:t>
      </w:r>
      <w:r>
        <w:rPr>
          <w:spacing w:val="-1"/>
        </w:rPr>
        <w:t>资金等侵占公司利益的问题。公司独立董事、审计委员会至</w:t>
      </w:r>
      <w:r>
        <w:rPr>
          <w:spacing w:val="-2"/>
        </w:rPr>
        <w:t>少应每季度查阅一次</w:t>
      </w:r>
      <w:r>
        <w:t xml:space="preserve"> </w:t>
      </w:r>
      <w:r>
        <w:rPr>
          <w:spacing w:val="-1"/>
        </w:rPr>
        <w:t>公司与关联方之间的资金往来情况，了解公司是否存在被控</w:t>
      </w:r>
      <w:r>
        <w:rPr>
          <w:spacing w:val="-2"/>
        </w:rPr>
        <w:t>股股东、实际控制人</w:t>
      </w:r>
      <w:r>
        <w:t xml:space="preserve"> </w:t>
      </w:r>
      <w:r>
        <w:rPr>
          <w:spacing w:val="-1"/>
        </w:rPr>
        <w:t>及其关联方占用、转移公司资金、资产及其他资源的情况，</w:t>
      </w:r>
      <w:r>
        <w:rPr>
          <w:spacing w:val="-2"/>
        </w:rPr>
        <w:t>如发现异常情况，及</w:t>
      </w:r>
      <w:r>
        <w:t xml:space="preserve"> </w:t>
      </w:r>
      <w:r>
        <w:rPr>
          <w:spacing w:val="-1"/>
        </w:rPr>
        <w:t>时提请公司董事会采取相应措施。</w:t>
      </w:r>
    </w:p>
    <w:p w14:paraId="3ACD6F13">
      <w:pPr>
        <w:pStyle w:val="2"/>
        <w:spacing w:before="182" w:line="332" w:lineRule="auto"/>
        <w:ind w:left="1" w:right="63" w:firstLine="480"/>
      </w:pPr>
      <w:r>
        <w:rPr>
          <w:rFonts w:ascii="黑体" w:hAnsi="黑体" w:eastAsia="黑体" w:cs="黑体"/>
          <w:b/>
          <w:bCs/>
          <w:spacing w:val="2"/>
        </w:rPr>
        <w:t>第十五条</w:t>
      </w:r>
      <w:r>
        <w:rPr>
          <w:rFonts w:ascii="黑体" w:hAnsi="黑体" w:eastAsia="黑体" w:cs="黑体"/>
          <w:spacing w:val="2"/>
        </w:rPr>
        <w:t xml:space="preserve"> </w:t>
      </w:r>
      <w:r>
        <w:rPr>
          <w:spacing w:val="2"/>
        </w:rPr>
        <w:t>公司董事长是防止资金占用、资金占用清欠工作的第一责任人。</w:t>
      </w:r>
      <w:r>
        <w:t xml:space="preserve"> </w:t>
      </w:r>
      <w:r>
        <w:rPr>
          <w:spacing w:val="-1"/>
        </w:rPr>
        <w:t>公司设立防范控股股东、实际控制人及关联方占用公司资金</w:t>
      </w:r>
      <w:r>
        <w:rPr>
          <w:spacing w:val="-2"/>
        </w:rPr>
        <w:t>行为的领导小组，由</w:t>
      </w:r>
      <w:r>
        <w:t xml:space="preserve"> </w:t>
      </w:r>
      <w:r>
        <w:rPr>
          <w:spacing w:val="-1"/>
        </w:rPr>
        <w:t>董事长任组长、财务总监任副组长，成员由董事会秘书、财</w:t>
      </w:r>
      <w:r>
        <w:rPr>
          <w:spacing w:val="-2"/>
        </w:rPr>
        <w:t>务管理部、内部审计</w:t>
      </w:r>
      <w:r>
        <w:t xml:space="preserve"> </w:t>
      </w:r>
      <w:r>
        <w:rPr>
          <w:spacing w:val="-1"/>
        </w:rPr>
        <w:t>部及有关人员组成，该小组为防范控股股东、实际控制人及</w:t>
      </w:r>
      <w:r>
        <w:rPr>
          <w:spacing w:val="-2"/>
        </w:rPr>
        <w:t>关联方占用公司资金</w:t>
      </w:r>
      <w:r>
        <w:t xml:space="preserve"> </w:t>
      </w:r>
      <w:r>
        <w:rPr>
          <w:spacing w:val="-1"/>
        </w:rPr>
        <w:t>行为的日常监督机构。</w:t>
      </w:r>
    </w:p>
    <w:p w14:paraId="146F6041">
      <w:pPr>
        <w:pStyle w:val="2"/>
        <w:spacing w:before="185" w:line="289" w:lineRule="auto"/>
        <w:ind w:left="10" w:right="63" w:firstLine="471"/>
      </w:pPr>
      <w:r>
        <w:rPr>
          <w:rFonts w:ascii="黑体" w:hAnsi="黑体" w:eastAsia="黑体" w:cs="黑体"/>
          <w:b/>
          <w:bCs/>
          <w:spacing w:val="2"/>
        </w:rPr>
        <w:t>第十六条</w:t>
      </w:r>
      <w:r>
        <w:rPr>
          <w:rFonts w:ascii="黑体" w:hAnsi="黑体" w:eastAsia="黑体" w:cs="黑体"/>
          <w:spacing w:val="2"/>
        </w:rPr>
        <w:t xml:space="preserve"> </w:t>
      </w:r>
      <w:r>
        <w:rPr>
          <w:spacing w:val="2"/>
        </w:rPr>
        <w:t>公司股东会、董事会按照各自权限和职责审议批准公司与控股股</w:t>
      </w:r>
      <w:r>
        <w:t xml:space="preserve"> </w:t>
      </w:r>
      <w:r>
        <w:rPr>
          <w:spacing w:val="-2"/>
        </w:rPr>
        <w:t>东、实际控制人及关联方通过采购和销售等生产经营环节开展的关联交易事项。</w:t>
      </w:r>
    </w:p>
    <w:p w14:paraId="6831FC7B">
      <w:pPr>
        <w:pStyle w:val="2"/>
        <w:spacing w:before="183" w:line="290" w:lineRule="auto"/>
        <w:ind w:left="1" w:right="63" w:firstLine="480"/>
      </w:pPr>
      <w:r>
        <w:rPr>
          <w:rFonts w:ascii="黑体" w:hAnsi="黑体" w:eastAsia="黑体" w:cs="黑体"/>
          <w:b/>
          <w:bCs/>
          <w:spacing w:val="2"/>
        </w:rPr>
        <w:t>第十七条</w:t>
      </w:r>
      <w:r>
        <w:rPr>
          <w:rFonts w:ascii="黑体" w:hAnsi="黑体" w:eastAsia="黑体" w:cs="黑体"/>
          <w:spacing w:val="2"/>
        </w:rPr>
        <w:t xml:space="preserve"> </w:t>
      </w:r>
      <w:r>
        <w:rPr>
          <w:spacing w:val="2"/>
        </w:rPr>
        <w:t>公司与控股股东、实际控制人及关联方进行关联交易，资金审批</w:t>
      </w:r>
      <w:r>
        <w:t xml:space="preserve"> </w:t>
      </w:r>
      <w:r>
        <w:rPr>
          <w:spacing w:val="-1"/>
        </w:rPr>
        <w:t>和支付流程，必须严格执行关联交易协议和资金管理有关规定。</w:t>
      </w:r>
    </w:p>
    <w:p w14:paraId="61635905">
      <w:pPr>
        <w:pStyle w:val="2"/>
        <w:spacing w:before="182" w:line="222" w:lineRule="auto"/>
        <w:jc w:val="right"/>
      </w:pPr>
      <w:r>
        <w:rPr>
          <w:rFonts w:ascii="黑体" w:hAnsi="黑体" w:eastAsia="黑体" w:cs="黑体"/>
          <w:b/>
          <w:bCs/>
          <w:spacing w:val="-3"/>
        </w:rPr>
        <w:t>第十八条</w:t>
      </w:r>
      <w:r>
        <w:rPr>
          <w:rFonts w:ascii="黑体" w:hAnsi="黑体" w:eastAsia="黑体" w:cs="黑体"/>
          <w:spacing w:val="-3"/>
        </w:rPr>
        <w:t xml:space="preserve"> </w:t>
      </w:r>
      <w:r>
        <w:rPr>
          <w:spacing w:val="-3"/>
        </w:rPr>
        <w:t>公司财务部是落实防范资金占用、资金占用清</w:t>
      </w:r>
      <w:r>
        <w:rPr>
          <w:spacing w:val="-4"/>
        </w:rPr>
        <w:t>欠措施的职能部门，</w:t>
      </w:r>
    </w:p>
    <w:p w14:paraId="5A92B926">
      <w:pPr>
        <w:spacing w:line="222" w:lineRule="auto"/>
        <w:sectPr>
          <w:headerReference r:id="rId7" w:type="default"/>
          <w:pgSz w:w="11906" w:h="16839"/>
          <w:pgMar w:top="1107" w:right="1736" w:bottom="0" w:left="1747" w:header="830" w:footer="0" w:gutter="0"/>
          <w:cols w:space="720" w:num="1"/>
        </w:sectPr>
      </w:pPr>
    </w:p>
    <w:p w14:paraId="6E395E64">
      <w:pPr>
        <w:spacing w:line="366" w:lineRule="auto"/>
        <w:rPr>
          <w:rFonts w:ascii="Arial"/>
          <w:sz w:val="21"/>
        </w:rPr>
      </w:pPr>
    </w:p>
    <w:p w14:paraId="7FA4E961">
      <w:pPr>
        <w:pStyle w:val="2"/>
        <w:spacing w:before="78" w:line="360" w:lineRule="auto"/>
        <w:ind w:right="37"/>
        <w:jc w:val="both"/>
      </w:pPr>
      <w:r>
        <w:rPr>
          <w:spacing w:val="-1"/>
        </w:rPr>
        <w:t>应定期对公司及下属子公司进行检查，向经营管理层报告与</w:t>
      </w:r>
      <w:r>
        <w:rPr>
          <w:spacing w:val="-2"/>
        </w:rPr>
        <w:t>控股股东、实际控制</w:t>
      </w:r>
      <w:r>
        <w:t xml:space="preserve"> </w:t>
      </w:r>
      <w:r>
        <w:rPr>
          <w:spacing w:val="-1"/>
        </w:rPr>
        <w:t>人及关联方非经营性资金往来的审查情况，杜绝控股股东</w:t>
      </w:r>
      <w:r>
        <w:rPr>
          <w:spacing w:val="-2"/>
        </w:rPr>
        <w:t>、实际控制人及关联方</w:t>
      </w:r>
      <w:r>
        <w:t xml:space="preserve"> </w:t>
      </w:r>
      <w:r>
        <w:rPr>
          <w:spacing w:val="-1"/>
        </w:rPr>
        <w:t>的非经营性占用资金的情况发生。</w:t>
      </w:r>
    </w:p>
    <w:p w14:paraId="3D0EECB0">
      <w:pPr>
        <w:pStyle w:val="2"/>
        <w:spacing w:before="3" w:line="331" w:lineRule="auto"/>
        <w:ind w:right="37" w:firstLine="480"/>
      </w:pPr>
      <w:r>
        <w:rPr>
          <w:rFonts w:ascii="黑体" w:hAnsi="黑体" w:eastAsia="黑体" w:cs="黑体"/>
          <w:b/>
          <w:bCs/>
          <w:spacing w:val="2"/>
        </w:rPr>
        <w:t>第十九条</w:t>
      </w:r>
      <w:r>
        <w:rPr>
          <w:rFonts w:ascii="黑体" w:hAnsi="黑体" w:eastAsia="黑体" w:cs="黑体"/>
          <w:spacing w:val="2"/>
        </w:rPr>
        <w:t xml:space="preserve"> </w:t>
      </w:r>
      <w:r>
        <w:rPr>
          <w:spacing w:val="2"/>
        </w:rPr>
        <w:t>公司内部审计部作为公司董事会对公司进行稽核监督机构，按照</w:t>
      </w:r>
      <w:r>
        <w:t xml:space="preserve"> </w:t>
      </w:r>
      <w:r>
        <w:rPr>
          <w:spacing w:val="-1"/>
        </w:rPr>
        <w:t>有利于事前、事中、事后监督的原则，负责对经营活动和内</w:t>
      </w:r>
      <w:r>
        <w:rPr>
          <w:spacing w:val="-2"/>
        </w:rPr>
        <w:t>部控制执行情况的监</w:t>
      </w:r>
      <w:r>
        <w:t xml:space="preserve"> </w:t>
      </w:r>
      <w:r>
        <w:rPr>
          <w:spacing w:val="-1"/>
        </w:rPr>
        <w:t>督和检查，并对检查对象和内容进行评价，提出改进和处理</w:t>
      </w:r>
      <w:r>
        <w:rPr>
          <w:spacing w:val="-2"/>
        </w:rPr>
        <w:t>意见。应当将大额非</w:t>
      </w:r>
      <w:r>
        <w:t xml:space="preserve"> </w:t>
      </w:r>
      <w:r>
        <w:rPr>
          <w:spacing w:val="-1"/>
        </w:rPr>
        <w:t>经营性资金往来事项相关内部控制制度的完整性、合理性及</w:t>
      </w:r>
      <w:r>
        <w:rPr>
          <w:spacing w:val="-2"/>
        </w:rPr>
        <w:t>其实施的有效性作为</w:t>
      </w:r>
      <w:r>
        <w:t xml:space="preserve"> 检查和评估的重点。确保内部控制的贯彻实施和生</w:t>
      </w:r>
      <w:r>
        <w:rPr>
          <w:spacing w:val="-1"/>
        </w:rPr>
        <w:t>产经营活动的正常进行。</w:t>
      </w:r>
    </w:p>
    <w:p w14:paraId="216458B5">
      <w:pPr>
        <w:pStyle w:val="2"/>
        <w:spacing w:before="185" w:line="313" w:lineRule="auto"/>
        <w:ind w:left="10" w:right="39" w:firstLine="470"/>
      </w:pPr>
      <w:r>
        <w:rPr>
          <w:rFonts w:ascii="黑体" w:hAnsi="黑体" w:eastAsia="黑体" w:cs="黑体"/>
          <w:b/>
          <w:bCs/>
          <w:spacing w:val="2"/>
        </w:rPr>
        <w:t>第二十条</w:t>
      </w:r>
      <w:r>
        <w:rPr>
          <w:rFonts w:ascii="黑体" w:hAnsi="黑体" w:eastAsia="黑体" w:cs="黑体"/>
          <w:spacing w:val="2"/>
        </w:rPr>
        <w:t xml:space="preserve"> </w:t>
      </w:r>
      <w:r>
        <w:rPr>
          <w:spacing w:val="2"/>
        </w:rPr>
        <w:t>若发生控股股东、实际控制人及其关联方违规占用资金情</w:t>
      </w:r>
      <w:r>
        <w:rPr>
          <w:spacing w:val="1"/>
        </w:rPr>
        <w:t>形，公</w:t>
      </w:r>
      <w:r>
        <w:t xml:space="preserve"> </w:t>
      </w:r>
      <w:r>
        <w:rPr>
          <w:spacing w:val="-2"/>
        </w:rPr>
        <w:t>司应依法制定清欠方案，按照要求及时向中国证监会和证券交易所报告并公告，</w:t>
      </w:r>
      <w:r>
        <w:rPr>
          <w:spacing w:val="14"/>
        </w:rPr>
        <w:t xml:space="preserve"> </w:t>
      </w:r>
      <w:r>
        <w:rPr>
          <w:spacing w:val="-2"/>
        </w:rPr>
        <w:t>以保护公司及相关股东的合法权益。</w:t>
      </w:r>
    </w:p>
    <w:p w14:paraId="4B9DB5BF">
      <w:pPr>
        <w:pStyle w:val="2"/>
        <w:spacing w:before="181" w:line="332" w:lineRule="auto"/>
        <w:ind w:right="37" w:firstLine="480"/>
      </w:pPr>
      <w:r>
        <w:rPr>
          <w:rFonts w:ascii="黑体" w:hAnsi="黑体" w:eastAsia="黑体" w:cs="黑体"/>
          <w:b/>
          <w:bCs/>
          <w:spacing w:val="2"/>
        </w:rPr>
        <w:t>第二十一条</w:t>
      </w:r>
      <w:r>
        <w:rPr>
          <w:rFonts w:ascii="黑体" w:hAnsi="黑体" w:eastAsia="黑体" w:cs="黑体"/>
          <w:spacing w:val="2"/>
        </w:rPr>
        <w:t xml:space="preserve"> </w:t>
      </w:r>
      <w:r>
        <w:rPr>
          <w:spacing w:val="2"/>
        </w:rPr>
        <w:t>公司若发生因控股股东、实际控制人及关联方占用或转</w:t>
      </w:r>
      <w:r>
        <w:rPr>
          <w:spacing w:val="1"/>
        </w:rPr>
        <w:t>移公司</w:t>
      </w:r>
      <w:r>
        <w:t xml:space="preserve"> </w:t>
      </w:r>
      <w:r>
        <w:rPr>
          <w:spacing w:val="-1"/>
        </w:rPr>
        <w:t>资金、资产或其他资源而给公司造成损失或可能造成损失的</w:t>
      </w:r>
      <w:r>
        <w:rPr>
          <w:spacing w:val="-2"/>
        </w:rPr>
        <w:t>，公司董事会应及时</w:t>
      </w:r>
      <w:r>
        <w:t xml:space="preserve"> </w:t>
      </w:r>
      <w:r>
        <w:rPr>
          <w:spacing w:val="-1"/>
        </w:rPr>
        <w:t>采取诉讼、财产保全、冻结股权等保护性措施避免或减少损</w:t>
      </w:r>
      <w:r>
        <w:rPr>
          <w:spacing w:val="-2"/>
        </w:rPr>
        <w:t>失。控股股东或实际</w:t>
      </w:r>
      <w:r>
        <w:t xml:space="preserve"> </w:t>
      </w:r>
      <w:r>
        <w:rPr>
          <w:spacing w:val="-1"/>
        </w:rPr>
        <w:t>控制人利用其控制地位，对公司及其他股东权益造成损害时</w:t>
      </w:r>
      <w:r>
        <w:rPr>
          <w:spacing w:val="-2"/>
        </w:rPr>
        <w:t>，由董事会向其提出</w:t>
      </w:r>
      <w:r>
        <w:t xml:space="preserve"> </w:t>
      </w:r>
      <w:r>
        <w:rPr>
          <w:spacing w:val="-1"/>
        </w:rPr>
        <w:t>赔偿要求，并将依法追究其责任。</w:t>
      </w:r>
    </w:p>
    <w:p w14:paraId="0024A2B8">
      <w:pPr>
        <w:pStyle w:val="2"/>
        <w:spacing w:before="183" w:line="325" w:lineRule="auto"/>
        <w:ind w:right="37" w:firstLine="480"/>
      </w:pPr>
      <w:r>
        <w:rPr>
          <w:rFonts w:ascii="黑体" w:hAnsi="黑体" w:eastAsia="黑体" w:cs="黑体"/>
          <w:b/>
          <w:bCs/>
          <w:spacing w:val="2"/>
        </w:rPr>
        <w:t>第二十二条</w:t>
      </w:r>
      <w:r>
        <w:rPr>
          <w:rFonts w:ascii="黑体" w:hAnsi="黑体" w:eastAsia="黑体" w:cs="黑体"/>
          <w:spacing w:val="2"/>
        </w:rPr>
        <w:t xml:space="preserve"> </w:t>
      </w:r>
      <w:r>
        <w:rPr>
          <w:spacing w:val="2"/>
        </w:rPr>
        <w:t>公司被控股股东、实际控制人及关联方占用的资金，原</w:t>
      </w:r>
      <w:r>
        <w:rPr>
          <w:spacing w:val="1"/>
        </w:rPr>
        <w:t>则上应</w:t>
      </w:r>
      <w:r>
        <w:t xml:space="preserve"> </w:t>
      </w:r>
      <w:r>
        <w:rPr>
          <w:spacing w:val="-1"/>
        </w:rPr>
        <w:t>当以现金清偿。公司应严格控制控股股东、实际控制人及关</w:t>
      </w:r>
      <w:r>
        <w:rPr>
          <w:spacing w:val="-2"/>
        </w:rPr>
        <w:t>联方以非现金资产清</w:t>
      </w:r>
      <w:r>
        <w:t xml:space="preserve"> </w:t>
      </w:r>
      <w:r>
        <w:rPr>
          <w:spacing w:val="-1"/>
        </w:rPr>
        <w:t>偿占用的公司资金。控股股东、实际控制人及关联方拟用非现</w:t>
      </w:r>
      <w:r>
        <w:rPr>
          <w:spacing w:val="-2"/>
        </w:rPr>
        <w:t>金资产清偿占用的</w:t>
      </w:r>
      <w:r>
        <w:t xml:space="preserve"> </w:t>
      </w:r>
      <w:r>
        <w:rPr>
          <w:spacing w:val="-1"/>
        </w:rPr>
        <w:t>公司资金，应当遵守以下规定：</w:t>
      </w:r>
    </w:p>
    <w:p w14:paraId="0597D303">
      <w:pPr>
        <w:pStyle w:val="2"/>
        <w:spacing w:before="182" w:line="313" w:lineRule="auto"/>
        <w:ind w:left="60" w:right="37" w:firstLine="492"/>
      </w:pPr>
      <w:r>
        <w:rPr>
          <w:spacing w:val="-4"/>
        </w:rPr>
        <w:t>（一）用于抵偿的资产必须属于公司同一业务体系，并有利于增强公司独立</w:t>
      </w:r>
      <w:r>
        <w:rPr>
          <w:spacing w:val="16"/>
        </w:rPr>
        <w:t xml:space="preserve"> </w:t>
      </w:r>
      <w:r>
        <w:rPr>
          <w:spacing w:val="-3"/>
        </w:rPr>
        <w:t>性和核心竞争力，减少关联交易，不得是尚未投入使用的资产或者没有客观明确</w:t>
      </w:r>
      <w:r>
        <w:rPr>
          <w:spacing w:val="1"/>
        </w:rPr>
        <w:t xml:space="preserve"> </w:t>
      </w:r>
      <w:r>
        <w:rPr>
          <w:spacing w:val="-2"/>
        </w:rPr>
        <w:t>账面净值的资产；</w:t>
      </w:r>
    </w:p>
    <w:p w14:paraId="6EED951E">
      <w:pPr>
        <w:pStyle w:val="2"/>
        <w:spacing w:before="186" w:line="324" w:lineRule="auto"/>
        <w:ind w:left="60" w:firstLine="492"/>
      </w:pPr>
      <w:r>
        <w:rPr>
          <w:spacing w:val="-4"/>
        </w:rPr>
        <w:t>（二）公司应当聘请符合《证券法》规定的中介机构对符合以资抵债条件的</w:t>
      </w:r>
      <w:r>
        <w:rPr>
          <w:spacing w:val="16"/>
        </w:rPr>
        <w:t xml:space="preserve"> </w:t>
      </w:r>
      <w:r>
        <w:rPr>
          <w:spacing w:val="-2"/>
        </w:rPr>
        <w:t>资产进行评估，以资产评估值或者经审计的账面净值作为以资抵债的定价基础，</w:t>
      </w:r>
      <w:r>
        <w:rPr>
          <w:spacing w:val="4"/>
        </w:rPr>
        <w:t xml:space="preserve"> </w:t>
      </w:r>
      <w:r>
        <w:rPr>
          <w:spacing w:val="-3"/>
        </w:rPr>
        <w:t>但最终定价不得损害公司利益，并充分考虑所占用资金的现值予以折扣。审计报</w:t>
      </w:r>
      <w:r>
        <w:rPr>
          <w:spacing w:val="1"/>
        </w:rPr>
        <w:t xml:space="preserve"> </w:t>
      </w:r>
      <w:r>
        <w:rPr>
          <w:spacing w:val="-1"/>
        </w:rPr>
        <w:t>告和评估报告应当向社会公告；</w:t>
      </w:r>
    </w:p>
    <w:p w14:paraId="7C1FDBA7">
      <w:pPr>
        <w:pStyle w:val="2"/>
        <w:spacing w:before="184" w:line="289" w:lineRule="auto"/>
        <w:ind w:left="59" w:right="37" w:firstLine="493"/>
      </w:pPr>
      <w:r>
        <w:rPr>
          <w:spacing w:val="-4"/>
        </w:rPr>
        <w:t>（三）独立董事专门会议应当就公司关联方以资抵债方案进行审议，或者聘</w:t>
      </w:r>
      <w:r>
        <w:rPr>
          <w:spacing w:val="16"/>
        </w:rPr>
        <w:t xml:space="preserve"> </w:t>
      </w:r>
      <w:r>
        <w:rPr>
          <w:spacing w:val="-1"/>
        </w:rPr>
        <w:t>请符合《证券法》规定的中介机构出具独立财务顾问报告；</w:t>
      </w:r>
    </w:p>
    <w:p w14:paraId="58945BD7">
      <w:pPr>
        <w:spacing w:line="289" w:lineRule="auto"/>
        <w:sectPr>
          <w:headerReference r:id="rId8" w:type="default"/>
          <w:pgSz w:w="11906" w:h="16839"/>
          <w:pgMar w:top="1107" w:right="1762" w:bottom="0" w:left="1748" w:header="830" w:footer="0" w:gutter="0"/>
          <w:cols w:space="720" w:num="1"/>
        </w:sectPr>
      </w:pPr>
    </w:p>
    <w:p w14:paraId="08D89D9E">
      <w:pPr>
        <w:spacing w:line="367" w:lineRule="auto"/>
        <w:rPr>
          <w:rFonts w:ascii="Arial"/>
          <w:sz w:val="21"/>
        </w:rPr>
      </w:pPr>
    </w:p>
    <w:p w14:paraId="0126CAD3">
      <w:pPr>
        <w:pStyle w:val="2"/>
        <w:spacing w:before="78" w:line="362" w:lineRule="auto"/>
        <w:ind w:left="22" w:right="80" w:firstLine="492"/>
      </w:pPr>
      <w:r>
        <w:rPr>
          <w:spacing w:val="-4"/>
        </w:rPr>
        <w:t>（四）公司关联方以资抵债方案须经股东会审议批准，关联方股东应当回避</w:t>
      </w:r>
      <w:r>
        <w:rPr>
          <w:spacing w:val="16"/>
        </w:rPr>
        <w:t xml:space="preserve"> </w:t>
      </w:r>
      <w:r>
        <w:rPr>
          <w:spacing w:val="-3"/>
        </w:rPr>
        <w:t>投票。</w:t>
      </w:r>
    </w:p>
    <w:p w14:paraId="38C8B770">
      <w:pPr>
        <w:spacing w:line="425" w:lineRule="auto"/>
        <w:rPr>
          <w:rFonts w:ascii="Arial"/>
          <w:sz w:val="21"/>
        </w:rPr>
      </w:pPr>
    </w:p>
    <w:p w14:paraId="436BB8E5">
      <w:pPr>
        <w:spacing w:before="91" w:line="222" w:lineRule="auto"/>
        <w:ind w:left="2701"/>
        <w:outlineLvl w:val="0"/>
        <w:rPr>
          <w:rFonts w:ascii="黑体" w:hAnsi="黑体" w:eastAsia="黑体" w:cs="黑体"/>
          <w:sz w:val="28"/>
          <w:szCs w:val="28"/>
        </w:rPr>
      </w:pPr>
      <w:r>
        <w:rPr>
          <w:rFonts w:ascii="黑体" w:hAnsi="黑体" w:eastAsia="黑体" w:cs="黑体"/>
          <w:b/>
          <w:bCs/>
          <w:spacing w:val="-3"/>
          <w:sz w:val="28"/>
          <w:szCs w:val="28"/>
        </w:rPr>
        <w:t>第四章</w:t>
      </w:r>
      <w:r>
        <w:rPr>
          <w:rFonts w:ascii="黑体" w:hAnsi="黑体" w:eastAsia="黑体" w:cs="黑体"/>
          <w:spacing w:val="-3"/>
          <w:sz w:val="28"/>
          <w:szCs w:val="28"/>
        </w:rPr>
        <w:t xml:space="preserve"> </w:t>
      </w:r>
      <w:r>
        <w:rPr>
          <w:rFonts w:ascii="黑体" w:hAnsi="黑体" w:eastAsia="黑体" w:cs="黑体"/>
          <w:b/>
          <w:bCs/>
          <w:spacing w:val="-3"/>
          <w:sz w:val="28"/>
          <w:szCs w:val="28"/>
        </w:rPr>
        <w:t>责任追究及处罚</w:t>
      </w:r>
      <w:bookmarkStart w:id="0" w:name="_GoBack"/>
      <w:bookmarkEnd w:id="0"/>
    </w:p>
    <w:p w14:paraId="3F9621F1">
      <w:pPr>
        <w:pStyle w:val="2"/>
        <w:spacing w:before="227" w:line="325" w:lineRule="auto"/>
        <w:ind w:left="23" w:right="80" w:firstLine="480"/>
      </w:pPr>
      <w:r>
        <w:rPr>
          <w:rFonts w:ascii="黑体" w:hAnsi="黑体" w:eastAsia="黑体" w:cs="黑体"/>
          <w:b/>
          <w:bCs/>
        </w:rPr>
        <w:t>第二十二条</w:t>
      </w:r>
      <w:r>
        <w:rPr>
          <w:rFonts w:ascii="黑体" w:hAnsi="黑体" w:eastAsia="黑体" w:cs="黑体"/>
        </w:rPr>
        <w:t xml:space="preserve"> </w:t>
      </w:r>
      <w:r>
        <w:t>公司董事、高级管理人员协助、纵容控股股东、实际控制人及</w:t>
      </w:r>
      <w:r>
        <w:rPr>
          <w:spacing w:val="1"/>
        </w:rPr>
        <w:t xml:space="preserve"> </w:t>
      </w:r>
      <w:r>
        <w:rPr>
          <w:spacing w:val="-3"/>
        </w:rPr>
        <w:t>关联方侵占公司资产时，公司董事会视情节轻重对直接责任人给予处分，对负有</w:t>
      </w:r>
      <w:r>
        <w:rPr>
          <w:spacing w:val="1"/>
        </w:rPr>
        <w:t xml:space="preserve"> </w:t>
      </w:r>
      <w:r>
        <w:rPr>
          <w:spacing w:val="-3"/>
        </w:rPr>
        <w:t>严重责任的董事向股东会申请罢免。情节严重涉嫌犯罪的，移交公安机关查处并</w:t>
      </w:r>
      <w:r>
        <w:rPr>
          <w:spacing w:val="1"/>
        </w:rPr>
        <w:t xml:space="preserve"> </w:t>
      </w:r>
      <w:r>
        <w:rPr>
          <w:spacing w:val="-1"/>
        </w:rPr>
        <w:t>依法追究其刑事责任。</w:t>
      </w:r>
    </w:p>
    <w:p w14:paraId="281F3497">
      <w:pPr>
        <w:pStyle w:val="2"/>
        <w:spacing w:before="184" w:line="289" w:lineRule="auto"/>
        <w:ind w:left="27" w:right="82" w:firstLine="476"/>
      </w:pPr>
      <w:r>
        <w:rPr>
          <w:rFonts w:ascii="黑体" w:hAnsi="黑体" w:eastAsia="黑体" w:cs="黑体"/>
          <w:b/>
          <w:bCs/>
        </w:rPr>
        <w:t>第二十三条</w:t>
      </w:r>
      <w:r>
        <w:rPr>
          <w:rFonts w:ascii="黑体" w:hAnsi="黑体" w:eastAsia="黑体" w:cs="黑体"/>
        </w:rPr>
        <w:t xml:space="preserve"> </w:t>
      </w:r>
      <w:r>
        <w:t>公司董事会不按照本办法的规定履行职责的，审计委员会可在</w:t>
      </w:r>
      <w:r>
        <w:rPr>
          <w:spacing w:val="1"/>
        </w:rPr>
        <w:t xml:space="preserve"> </w:t>
      </w:r>
      <w:r>
        <w:rPr>
          <w:spacing w:val="-1"/>
        </w:rPr>
        <w:t>发现情况后立即书面责成董事会履行职责。</w:t>
      </w:r>
    </w:p>
    <w:p w14:paraId="49DFC220">
      <w:pPr>
        <w:pStyle w:val="2"/>
        <w:spacing w:before="184" w:line="313" w:lineRule="auto"/>
        <w:ind w:left="32" w:right="80" w:firstLine="470"/>
      </w:pPr>
      <w:r>
        <w:rPr>
          <w:rFonts w:ascii="黑体" w:hAnsi="黑体" w:eastAsia="黑体" w:cs="黑体"/>
          <w:b/>
          <w:bCs/>
        </w:rPr>
        <w:t>第二十四条</w:t>
      </w:r>
      <w:r>
        <w:rPr>
          <w:rFonts w:ascii="黑体" w:hAnsi="黑体" w:eastAsia="黑体" w:cs="黑体"/>
        </w:rPr>
        <w:t xml:space="preserve"> </w:t>
      </w:r>
      <w:r>
        <w:t>公司原则上不向控股股东、实际控制人及关联方提供担保。公</w:t>
      </w:r>
      <w:r>
        <w:rPr>
          <w:spacing w:val="1"/>
        </w:rPr>
        <w:t xml:space="preserve"> </w:t>
      </w:r>
      <w:r>
        <w:rPr>
          <w:spacing w:val="-3"/>
        </w:rPr>
        <w:t>司全体董事应当审慎对待和严格控制对控股股东、实际控制</w:t>
      </w:r>
      <w:r>
        <w:rPr>
          <w:spacing w:val="-4"/>
        </w:rPr>
        <w:t>人及关联方担保产生</w:t>
      </w:r>
      <w:r>
        <w:t xml:space="preserve"> </w:t>
      </w:r>
      <w:r>
        <w:rPr>
          <w:spacing w:val="-1"/>
        </w:rPr>
        <w:t>的债务风险，并对违规或失当的对外担保产生的损失依法承担连带责任。</w:t>
      </w:r>
    </w:p>
    <w:p w14:paraId="05E49E71">
      <w:pPr>
        <w:pStyle w:val="2"/>
        <w:spacing w:before="184" w:line="313" w:lineRule="auto"/>
        <w:ind w:left="23" w:right="80" w:firstLine="480"/>
      </w:pPr>
      <w:r>
        <w:rPr>
          <w:rFonts w:ascii="黑体" w:hAnsi="黑体" w:eastAsia="黑体" w:cs="黑体"/>
          <w:b/>
          <w:bCs/>
        </w:rPr>
        <w:t>第二十五条</w:t>
      </w:r>
      <w:r>
        <w:rPr>
          <w:rFonts w:ascii="黑体" w:hAnsi="黑体" w:eastAsia="黑体" w:cs="黑体"/>
        </w:rPr>
        <w:t xml:space="preserve"> </w:t>
      </w:r>
      <w:r>
        <w:t>公司或所属子公司与控股股东、实际控制人及关联方发生非经</w:t>
      </w:r>
      <w:r>
        <w:rPr>
          <w:spacing w:val="3"/>
        </w:rPr>
        <w:t xml:space="preserve"> </w:t>
      </w:r>
      <w:r>
        <w:rPr>
          <w:spacing w:val="-3"/>
        </w:rPr>
        <w:t>营性资金占用情况，给公司造成损失的，公司有权要求相关责任人对公司造成的</w:t>
      </w:r>
      <w:r>
        <w:rPr>
          <w:spacing w:val="1"/>
        </w:rPr>
        <w:t xml:space="preserve"> </w:t>
      </w:r>
      <w:r>
        <w:t>损失进行赔偿。给公司造成不良影响的，公司将</w:t>
      </w:r>
      <w:r>
        <w:rPr>
          <w:spacing w:val="-1"/>
        </w:rPr>
        <w:t>对相关责任人给予处分。</w:t>
      </w:r>
    </w:p>
    <w:p w14:paraId="342A05DD">
      <w:pPr>
        <w:spacing w:line="307" w:lineRule="auto"/>
        <w:rPr>
          <w:rFonts w:ascii="Arial"/>
          <w:sz w:val="21"/>
        </w:rPr>
      </w:pPr>
    </w:p>
    <w:p w14:paraId="58F94CD8">
      <w:pPr>
        <w:spacing w:line="307" w:lineRule="auto"/>
        <w:rPr>
          <w:rFonts w:ascii="Arial"/>
          <w:sz w:val="21"/>
        </w:rPr>
      </w:pPr>
    </w:p>
    <w:p w14:paraId="2B02A578">
      <w:pPr>
        <w:spacing w:before="92" w:line="222" w:lineRule="auto"/>
        <w:ind w:left="3685"/>
        <w:outlineLvl w:val="0"/>
        <w:rPr>
          <w:rFonts w:ascii="黑体" w:hAnsi="黑体" w:eastAsia="黑体" w:cs="黑体"/>
          <w:sz w:val="28"/>
          <w:szCs w:val="28"/>
        </w:rPr>
      </w:pPr>
      <w:r>
        <w:rPr>
          <w:rFonts w:ascii="黑体" w:hAnsi="黑体" w:eastAsia="黑体" w:cs="黑体"/>
          <w:b/>
          <w:bCs/>
          <w:spacing w:val="-10"/>
          <w:sz w:val="28"/>
          <w:szCs w:val="28"/>
        </w:rPr>
        <w:t>第五章</w:t>
      </w:r>
      <w:r>
        <w:rPr>
          <w:rFonts w:ascii="黑体" w:hAnsi="黑体" w:eastAsia="黑体" w:cs="黑体"/>
          <w:spacing w:val="29"/>
          <w:sz w:val="28"/>
          <w:szCs w:val="28"/>
        </w:rPr>
        <w:t xml:space="preserve"> </w:t>
      </w:r>
      <w:r>
        <w:rPr>
          <w:rFonts w:ascii="黑体" w:hAnsi="黑体" w:eastAsia="黑体" w:cs="黑体"/>
          <w:b/>
          <w:bCs/>
          <w:spacing w:val="-10"/>
          <w:sz w:val="28"/>
          <w:szCs w:val="28"/>
        </w:rPr>
        <w:t>附则</w:t>
      </w:r>
    </w:p>
    <w:p w14:paraId="76225B1A">
      <w:pPr>
        <w:pStyle w:val="2"/>
        <w:spacing w:before="228" w:line="313" w:lineRule="auto"/>
        <w:ind w:left="23" w:firstLine="480"/>
      </w:pPr>
      <w:r>
        <w:rPr>
          <w:rFonts w:ascii="黑体" w:hAnsi="黑体" w:eastAsia="黑体" w:cs="黑体"/>
          <w:b/>
          <w:bCs/>
        </w:rPr>
        <w:t>第二十六条</w:t>
      </w:r>
      <w:r>
        <w:rPr>
          <w:rFonts w:ascii="黑体" w:hAnsi="黑体" w:eastAsia="黑体" w:cs="黑体"/>
        </w:rPr>
        <w:t xml:space="preserve"> </w:t>
      </w:r>
      <w:r>
        <w:t>本办法未尽事宜，或者本办法在执行过程中若与国家法律、法</w:t>
      </w:r>
      <w:r>
        <w:rPr>
          <w:spacing w:val="3"/>
        </w:rPr>
        <w:t xml:space="preserve"> </w:t>
      </w:r>
      <w:r>
        <w:rPr>
          <w:spacing w:val="-7"/>
        </w:rPr>
        <w:t>规、部门规章、规范性文件和《公司章程》规定相抵触</w:t>
      </w:r>
      <w:r>
        <w:rPr>
          <w:spacing w:val="-8"/>
        </w:rPr>
        <w:t>，公司应当依照有关法律、</w:t>
      </w:r>
      <w:r>
        <w:t xml:space="preserve"> </w:t>
      </w:r>
      <w:r>
        <w:rPr>
          <w:spacing w:val="-1"/>
        </w:rPr>
        <w:t>行政法规、部门规章、规范性文件和《公司章程》的规定执行。</w:t>
      </w:r>
    </w:p>
    <w:p w14:paraId="5A53F819">
      <w:pPr>
        <w:pStyle w:val="2"/>
        <w:spacing w:before="183" w:line="290" w:lineRule="auto"/>
        <w:ind w:left="24" w:right="80" w:firstLine="479"/>
      </w:pPr>
      <w:r>
        <w:rPr>
          <w:rFonts w:ascii="黑体" w:hAnsi="黑体" w:eastAsia="黑体" w:cs="黑体"/>
          <w:b/>
          <w:bCs/>
        </w:rPr>
        <w:t>第二十七条</w:t>
      </w:r>
      <w:r>
        <w:rPr>
          <w:rFonts w:ascii="黑体" w:hAnsi="黑体" w:eastAsia="黑体" w:cs="黑体"/>
        </w:rPr>
        <w:t xml:space="preserve"> </w:t>
      </w:r>
      <w:r>
        <w:t>本办法经公司董事会审议通过后生效实施，由公司董事会负责</w:t>
      </w:r>
      <w:r>
        <w:rPr>
          <w:spacing w:val="3"/>
        </w:rPr>
        <w:t xml:space="preserve"> </w:t>
      </w:r>
      <w:r>
        <w:rPr>
          <w:spacing w:val="-2"/>
        </w:rPr>
        <w:t>修改和解释。</w:t>
      </w:r>
    </w:p>
    <w:sectPr>
      <w:headerReference r:id="rId9" w:type="default"/>
      <w:pgSz w:w="11906" w:h="16839"/>
      <w:pgMar w:top="1107" w:right="1719" w:bottom="0" w:left="1785" w:header="83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3C240">
    <w:pPr>
      <w:pStyle w:val="2"/>
      <w:spacing w:before="48" w:line="218" w:lineRule="auto"/>
      <w:ind w:left="58"/>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1C952">
    <w:pPr>
      <w:pStyle w:val="2"/>
      <w:spacing w:before="48" w:line="218" w:lineRule="auto"/>
      <w:ind w:left="57"/>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A48DC">
    <w:pPr>
      <w:pStyle w:val="2"/>
      <w:spacing w:before="48" w:line="218" w:lineRule="auto"/>
      <w:ind w:left="59"/>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8914F">
    <w:pPr>
      <w:pStyle w:val="2"/>
      <w:spacing w:before="48" w:line="218" w:lineRule="auto"/>
      <w:ind w:left="58"/>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3453E">
    <w:pPr>
      <w:pStyle w:val="2"/>
      <w:spacing w:before="48" w:line="218" w:lineRule="auto"/>
      <w:ind w:left="21"/>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E0B3B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footer"/>
    <w:basedOn w:val="1"/>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3655</Words>
  <Characters>3658</Characters>
  <TotalTime>0</TotalTime>
  <ScaleCrop>false</ScaleCrop>
  <LinksUpToDate>false</LinksUpToDate>
  <CharactersWithSpaces>3783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2025-08-28T18:11:00Z</dcterms:created>
  <dc:creator>Lenovo</dc:creator>
  <cp:lastModifiedBy>Grandall-liu</cp:lastModifiedBy>
  <dcterms:modified xsi:type="dcterms:W3CDTF">2025-09-15T05:42:04Z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2025-09-15T13:40:41Z</vt:filetime>
  </property>
  <property fmtid="{D5CDD505-2E9C-101B-9397-08002B2CF9AE}" pid="4" name="KSOTemplateDocerSaveRecord">
    <vt:lpwstr>eyJoZGlkIjoiYTM5NDJmNDY3MDc4NWQ0YWM5OWEyNTZkMTMxZGIyOTMiLCJ1c2VySWQiOiIyOTU5OTA1NDYifQ==</vt:lpwstr>
  </property>
  <property fmtid="{D5CDD505-2E9C-101B-9397-08002B2CF9AE}" pid="5" name="KSOProductBuildVer">
    <vt:lpwstr>2052-12.1.0.22529</vt:lpwstr>
  </property>
  <property fmtid="{D5CDD505-2E9C-101B-9397-08002B2CF9AE}" pid="6" name="ICV">
    <vt:lpwstr>4387CAF9E93C479793EC06C5EF2D43A9_12</vt:lpwstr>
  </property>
</Properties>
</file>