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BA4C" w14:textId="77777777" w:rsidR="00E00E46" w:rsidRDefault="00000000">
      <w:pPr>
        <w:spacing w:line="360" w:lineRule="auto"/>
        <w:jc w:val="center"/>
        <w:rPr>
          <w:rFonts w:ascii="Times New Roman" w:eastAsia="宋体" w:hAnsi="Times New Roman" w:cs="Times New Roman"/>
          <w:b/>
          <w:color w:val="000000" w:themeColor="text1"/>
          <w:sz w:val="28"/>
          <w:szCs w:val="28"/>
        </w:rPr>
      </w:pPr>
      <w:r>
        <w:rPr>
          <w:rFonts w:ascii="Times New Roman" w:eastAsia="宋体" w:hAnsi="Times New Roman" w:cs="Times New Roman" w:hint="eastAsia"/>
          <w:b/>
          <w:color w:val="000000" w:themeColor="text1"/>
          <w:sz w:val="28"/>
          <w:szCs w:val="28"/>
        </w:rPr>
        <w:t>山东好当家海洋发展股份有限公司</w:t>
      </w:r>
    </w:p>
    <w:p w14:paraId="7E81C02B" w14:textId="77777777" w:rsidR="00E00E46" w:rsidRDefault="00000000">
      <w:pPr>
        <w:spacing w:line="360" w:lineRule="auto"/>
        <w:jc w:val="center"/>
        <w:rPr>
          <w:rFonts w:ascii="Times New Roman" w:eastAsia="宋体" w:hAnsi="Times New Roman" w:cs="Times New Roman"/>
          <w:b/>
          <w:color w:val="000000" w:themeColor="text1"/>
          <w:sz w:val="28"/>
          <w:szCs w:val="28"/>
        </w:rPr>
      </w:pPr>
      <w:r>
        <w:rPr>
          <w:rFonts w:ascii="Times New Roman" w:eastAsia="宋体" w:hAnsi="Times New Roman" w:cs="Times New Roman"/>
          <w:b/>
          <w:color w:val="000000" w:themeColor="text1"/>
          <w:sz w:val="28"/>
          <w:szCs w:val="28"/>
        </w:rPr>
        <w:t>对外担保管理</w:t>
      </w:r>
      <w:r>
        <w:rPr>
          <w:rFonts w:ascii="Times New Roman" w:eastAsia="宋体" w:hAnsi="Times New Roman" w:cs="Times New Roman" w:hint="eastAsia"/>
          <w:b/>
          <w:color w:val="000000" w:themeColor="text1"/>
          <w:sz w:val="28"/>
          <w:szCs w:val="28"/>
        </w:rPr>
        <w:t>制度</w:t>
      </w:r>
    </w:p>
    <w:p w14:paraId="52F1497C" w14:textId="77777777" w:rsidR="00E00E46" w:rsidRDefault="00000000">
      <w:pPr>
        <w:spacing w:beforeLines="50" w:before="156" w:afterLines="50" w:after="156" w:line="360" w:lineRule="auto"/>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第一章</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总则</w:t>
      </w:r>
    </w:p>
    <w:p w14:paraId="321F3ED5" w14:textId="77777777" w:rsidR="00E00E46" w:rsidRDefault="00000000">
      <w:pPr>
        <w:spacing w:line="360" w:lineRule="auto"/>
        <w:ind w:firstLineChars="200" w:firstLine="482"/>
        <w:rPr>
          <w:rFonts w:ascii="Times New Roman" w:eastAsia="宋体" w:hAnsi="Times New Roman" w:cs="Times New Roman"/>
          <w:color w:val="000000" w:themeColor="text1"/>
          <w:kern w:val="0"/>
          <w:sz w:val="24"/>
          <w:szCs w:val="24"/>
        </w:rPr>
      </w:pPr>
      <w:r>
        <w:rPr>
          <w:rFonts w:ascii="Times New Roman" w:eastAsia="宋体" w:hAnsi="Times New Roman" w:cs="Times New Roman"/>
          <w:b/>
          <w:color w:val="000000" w:themeColor="text1"/>
          <w:sz w:val="24"/>
          <w:szCs w:val="24"/>
        </w:rPr>
        <w:t>第一条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kern w:val="0"/>
          <w:sz w:val="24"/>
          <w:szCs w:val="24"/>
        </w:rPr>
        <w:t>为规范</w:t>
      </w:r>
      <w:r>
        <w:rPr>
          <w:rFonts w:ascii="Times New Roman" w:eastAsia="宋体" w:hAnsi="Times New Roman" w:cs="Times New Roman" w:hint="eastAsia"/>
          <w:color w:val="000000" w:themeColor="text1"/>
          <w:kern w:val="0"/>
          <w:sz w:val="24"/>
          <w:szCs w:val="24"/>
        </w:rPr>
        <w:t>山东好当家海洋发展股份有限公司</w:t>
      </w:r>
      <w:r>
        <w:rPr>
          <w:rFonts w:ascii="Times New Roman" w:eastAsia="宋体" w:hAnsi="Times New Roman" w:cs="Times New Roman"/>
          <w:color w:val="000000" w:themeColor="text1"/>
          <w:kern w:val="0"/>
          <w:sz w:val="24"/>
          <w:szCs w:val="24"/>
        </w:rPr>
        <w:t>（以下简称</w:t>
      </w:r>
      <w:r>
        <w:rPr>
          <w:rFonts w:ascii="宋体" w:eastAsia="宋体" w:hAnsi="宋体" w:cs="宋体" w:hint="eastAsia"/>
          <w:color w:val="000000" w:themeColor="text1"/>
          <w:kern w:val="0"/>
          <w:sz w:val="24"/>
          <w:szCs w:val="24"/>
        </w:rPr>
        <w:t>“公司”</w:t>
      </w:r>
      <w:r>
        <w:rPr>
          <w:rFonts w:ascii="Times New Roman" w:eastAsia="宋体" w:hAnsi="Times New Roman" w:cs="Times New Roman"/>
          <w:color w:val="000000" w:themeColor="text1"/>
          <w:kern w:val="0"/>
          <w:sz w:val="24"/>
          <w:szCs w:val="24"/>
        </w:rPr>
        <w:t>）对外担保行为，控制公司对外担保风险，保护投资者合法权益，依据《中华人民共和国公司法》《中华人民共和国证券法》</w:t>
      </w:r>
      <w:r>
        <w:rPr>
          <w:rFonts w:ascii="Times New Roman" w:eastAsia="宋体" w:hAnsi="Times New Roman" w:cs="Times New Roman"/>
          <w:color w:val="000000" w:themeColor="text1"/>
          <w:sz w:val="24"/>
          <w:szCs w:val="24"/>
          <w:shd w:val="clear" w:color="auto" w:fill="FFFFFF"/>
        </w:rPr>
        <w:t>《上市公司监管指引第</w:t>
      </w:r>
      <w:r>
        <w:rPr>
          <w:rFonts w:ascii="Times New Roman" w:eastAsia="宋体" w:hAnsi="Times New Roman" w:cs="Times New Roman"/>
          <w:color w:val="000000" w:themeColor="text1"/>
          <w:sz w:val="24"/>
          <w:szCs w:val="24"/>
          <w:shd w:val="clear" w:color="auto" w:fill="FFFFFF"/>
        </w:rPr>
        <w:t>8</w:t>
      </w:r>
      <w:r>
        <w:rPr>
          <w:rFonts w:ascii="Times New Roman" w:eastAsia="宋体" w:hAnsi="Times New Roman" w:cs="Times New Roman"/>
          <w:color w:val="000000" w:themeColor="text1"/>
          <w:sz w:val="24"/>
          <w:szCs w:val="24"/>
          <w:shd w:val="clear" w:color="auto" w:fill="FFFFFF"/>
        </w:rPr>
        <w:t>号</w:t>
      </w:r>
      <w:r>
        <w:rPr>
          <w:rFonts w:ascii="Times New Roman" w:eastAsia="宋体" w:hAnsi="Times New Roman" w:cs="Times New Roman"/>
          <w:color w:val="000000" w:themeColor="text1"/>
          <w:sz w:val="24"/>
          <w:szCs w:val="24"/>
          <w:shd w:val="clear" w:color="auto" w:fill="FFFFFF"/>
        </w:rPr>
        <w:t>——</w:t>
      </w:r>
      <w:r>
        <w:rPr>
          <w:rFonts w:ascii="Times New Roman" w:eastAsia="宋体" w:hAnsi="Times New Roman" w:cs="Times New Roman"/>
          <w:color w:val="000000" w:themeColor="text1"/>
          <w:sz w:val="24"/>
          <w:szCs w:val="24"/>
          <w:shd w:val="clear" w:color="auto" w:fill="FFFFFF"/>
        </w:rPr>
        <w:t>上市公司资金往来、对外担保的监管要求》</w:t>
      </w:r>
      <w:r>
        <w:rPr>
          <w:rFonts w:ascii="Times New Roman" w:eastAsia="宋体" w:hAnsi="Times New Roman" w:cs="Times New Roman"/>
          <w:color w:val="000000" w:themeColor="text1"/>
          <w:kern w:val="0"/>
          <w:sz w:val="24"/>
          <w:szCs w:val="24"/>
        </w:rPr>
        <w:t>《</w:t>
      </w:r>
      <w:r>
        <w:rPr>
          <w:rFonts w:ascii="Times New Roman" w:eastAsia="宋体" w:hAnsi="Times New Roman" w:cs="Times New Roman" w:hint="eastAsia"/>
          <w:color w:val="000000" w:themeColor="text1"/>
          <w:kern w:val="0"/>
          <w:sz w:val="24"/>
          <w:szCs w:val="24"/>
        </w:rPr>
        <w:t>上海证券交易所</w:t>
      </w:r>
      <w:r>
        <w:rPr>
          <w:rFonts w:ascii="Times New Roman" w:eastAsia="宋体" w:hAnsi="Times New Roman" w:cs="Times New Roman"/>
          <w:color w:val="000000" w:themeColor="text1"/>
          <w:kern w:val="0"/>
          <w:sz w:val="24"/>
          <w:szCs w:val="24"/>
        </w:rPr>
        <w:t>股票上市规则》等法律、法规、规章及公司《章程》等规定，制定本</w:t>
      </w:r>
      <w:r>
        <w:rPr>
          <w:rFonts w:ascii="Times New Roman" w:eastAsia="宋体" w:hAnsi="Times New Roman" w:cs="Times New Roman" w:hint="eastAsia"/>
          <w:color w:val="000000" w:themeColor="text1"/>
          <w:kern w:val="0"/>
          <w:sz w:val="24"/>
          <w:szCs w:val="24"/>
        </w:rPr>
        <w:t>制度</w:t>
      </w:r>
      <w:r>
        <w:rPr>
          <w:rFonts w:ascii="Times New Roman" w:eastAsia="宋体" w:hAnsi="Times New Roman" w:cs="Times New Roman"/>
          <w:color w:val="000000" w:themeColor="text1"/>
          <w:kern w:val="0"/>
          <w:sz w:val="24"/>
          <w:szCs w:val="24"/>
        </w:rPr>
        <w:t>。</w:t>
      </w:r>
    </w:p>
    <w:p w14:paraId="43CF0417"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shd w:val="clear" w:color="auto" w:fill="FFFFFF"/>
        </w:rPr>
      </w:pPr>
      <w:r>
        <w:rPr>
          <w:rFonts w:ascii="Times New Roman" w:eastAsia="宋体" w:hAnsi="Times New Roman" w:cs="Times New Roman"/>
          <w:b/>
          <w:color w:val="000000" w:themeColor="text1"/>
          <w:sz w:val="24"/>
          <w:szCs w:val="24"/>
        </w:rPr>
        <w:t>第二条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本制度所称对外担保是指</w:t>
      </w:r>
      <w:r>
        <w:rPr>
          <w:rFonts w:ascii="Times New Roman" w:eastAsia="宋体" w:hAnsi="Times New Roman" w:cs="Times New Roman"/>
          <w:color w:val="000000" w:themeColor="text1"/>
          <w:sz w:val="24"/>
          <w:szCs w:val="24"/>
          <w:shd w:val="clear" w:color="auto" w:fill="FFFFFF"/>
        </w:rPr>
        <w:t>公司为他人提供担保，包括为公司控股子公司提供担保。</w:t>
      </w:r>
      <w:r>
        <w:rPr>
          <w:rFonts w:ascii="Times New Roman" w:eastAsia="宋体" w:hAnsi="Times New Roman" w:cs="Times New Roman" w:hint="eastAsia"/>
          <w:color w:val="000000" w:themeColor="text1"/>
          <w:sz w:val="24"/>
          <w:szCs w:val="24"/>
          <w:shd w:val="clear" w:color="auto" w:fill="FFFFFF"/>
        </w:rPr>
        <w:t>具体种类包括借款担保、银行开立信用证和银行承兑汇票担保、开具保函的担保等。</w:t>
      </w:r>
    </w:p>
    <w:p w14:paraId="33751D59"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第三条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hint="eastAsia"/>
          <w:color w:val="000000" w:themeColor="text1"/>
          <w:sz w:val="24"/>
          <w:szCs w:val="24"/>
          <w:shd w:val="clear" w:color="auto" w:fill="FFFFFF"/>
        </w:rPr>
        <w:t>公司对外担保应当遵循合法、审慎、互利、安全的原则，严格控制担保风险。</w:t>
      </w:r>
      <w:r>
        <w:rPr>
          <w:rFonts w:ascii="Times New Roman" w:eastAsia="宋体" w:hAnsi="Times New Roman" w:cs="Times New Roman"/>
          <w:color w:val="000000" w:themeColor="text1"/>
          <w:sz w:val="24"/>
          <w:szCs w:val="24"/>
        </w:rPr>
        <w:t>未经董事会或者股东会审议通过，公司不得提供担保。</w:t>
      </w:r>
      <w:r>
        <w:rPr>
          <w:rFonts w:ascii="Times New Roman" w:eastAsia="宋体" w:hAnsi="Times New Roman" w:cs="Times New Roman" w:hint="eastAsia"/>
          <w:color w:val="000000" w:themeColor="text1"/>
          <w:sz w:val="24"/>
          <w:szCs w:val="24"/>
        </w:rPr>
        <w:t>本制度适用于本公司及全资子公司、控股子公司。</w:t>
      </w:r>
    </w:p>
    <w:p w14:paraId="4D82E568" w14:textId="77777777" w:rsidR="00E00E46" w:rsidRDefault="00000000">
      <w:pPr>
        <w:spacing w:beforeLines="50" w:before="156" w:afterLines="50" w:after="156" w:line="360" w:lineRule="auto"/>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第二章</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对外担保事项的审查</w:t>
      </w:r>
    </w:p>
    <w:p w14:paraId="4F583558"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shd w:val="clear" w:color="auto" w:fill="FFFFFF"/>
        </w:rPr>
      </w:pPr>
      <w:r>
        <w:rPr>
          <w:rFonts w:ascii="Times New Roman" w:eastAsia="宋体" w:hAnsi="Times New Roman" w:cs="Times New Roman"/>
          <w:b/>
          <w:color w:val="000000" w:themeColor="text1"/>
          <w:sz w:val="24"/>
          <w:szCs w:val="24"/>
        </w:rPr>
        <w:t>第</w:t>
      </w:r>
      <w:r>
        <w:rPr>
          <w:rFonts w:ascii="Times New Roman" w:eastAsia="宋体" w:hAnsi="Times New Roman" w:cs="Times New Roman" w:hint="eastAsia"/>
          <w:b/>
          <w:color w:val="000000" w:themeColor="text1"/>
          <w:sz w:val="24"/>
          <w:szCs w:val="24"/>
        </w:rPr>
        <w:t>四</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bookmarkStart w:id="0" w:name="_Hlk201139007"/>
      <w:r>
        <w:rPr>
          <w:rFonts w:ascii="Times New Roman" w:eastAsia="宋体" w:hAnsi="Times New Roman" w:cs="Times New Roman"/>
          <w:color w:val="000000" w:themeColor="text1"/>
          <w:sz w:val="24"/>
          <w:szCs w:val="24"/>
          <w:shd w:val="clear" w:color="auto" w:fill="FFFFFF"/>
        </w:rPr>
        <w:t>公司对外担保时应当采取必要措施核查被担保人的资信状况，并在审慎判断被担保方偿还债务能力的基础上，决定是否提供担保。</w:t>
      </w:r>
    </w:p>
    <w:p w14:paraId="2DEBEFB8"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shd w:val="clear" w:color="auto" w:fill="FFFFFF"/>
        </w:rPr>
      </w:pPr>
      <w:r>
        <w:rPr>
          <w:rFonts w:ascii="Times New Roman" w:eastAsia="宋体" w:hAnsi="Times New Roman" w:cs="Times New Roman"/>
          <w:color w:val="000000" w:themeColor="text1"/>
          <w:sz w:val="24"/>
          <w:szCs w:val="24"/>
          <w:shd w:val="clear" w:color="auto" w:fill="FFFFFF"/>
        </w:rPr>
        <w:t>公司为控股股东、实际控制人及其关联人提供担保的，应当要求对方提供反担保。</w:t>
      </w:r>
      <w:bookmarkEnd w:id="0"/>
    </w:p>
    <w:p w14:paraId="7FE1305F"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shd w:val="clear" w:color="auto" w:fill="FFFFFF"/>
        </w:rPr>
      </w:pPr>
      <w:r>
        <w:rPr>
          <w:rFonts w:ascii="Times New Roman" w:eastAsia="宋体" w:hAnsi="Times New Roman" w:cs="Times New Roman"/>
          <w:b/>
          <w:color w:val="000000" w:themeColor="text1"/>
          <w:sz w:val="24"/>
          <w:szCs w:val="24"/>
        </w:rPr>
        <w:t>第</w:t>
      </w:r>
      <w:r>
        <w:rPr>
          <w:rFonts w:ascii="Times New Roman" w:eastAsia="宋体" w:hAnsi="Times New Roman" w:cs="Times New Roman" w:hint="eastAsia"/>
          <w:b/>
          <w:color w:val="000000" w:themeColor="text1"/>
          <w:sz w:val="24"/>
          <w:szCs w:val="24"/>
        </w:rPr>
        <w:t>五</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shd w:val="clear" w:color="auto" w:fill="FFFFFF"/>
        </w:rPr>
        <w:t>公司为其控股子公司、参股公司提供担保，该控股子公司、参股公司的其他股东应当按出资比例提供同等担保等风险控制措施。该股东未能采取前述风险控制措施的，公司董事会应当披露主要原因，并在分析担保对象经营情况、偿债能力的基础上，充分说明该笔担保风险是否可控，是否损害公司利益等。</w:t>
      </w:r>
    </w:p>
    <w:p w14:paraId="31E4EC29" w14:textId="77777777" w:rsidR="00E00E46" w:rsidRDefault="00000000">
      <w:pPr>
        <w:spacing w:beforeLines="50" w:before="156" w:afterLines="50" w:after="156" w:line="360" w:lineRule="auto"/>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第三章</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对外担保的审批程序</w:t>
      </w:r>
    </w:p>
    <w:p w14:paraId="03ECDE19"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w:t>
      </w:r>
      <w:r>
        <w:rPr>
          <w:rFonts w:ascii="Times New Roman" w:eastAsia="宋体" w:hAnsi="Times New Roman" w:cs="Times New Roman" w:hint="eastAsia"/>
          <w:b/>
          <w:color w:val="000000" w:themeColor="text1"/>
          <w:sz w:val="24"/>
          <w:szCs w:val="24"/>
        </w:rPr>
        <w:t>六</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公司提供担保，除应当经全体董事的过半数审议通过外，还应当经出席董事会会议的三分之二以上董事审议同意并</w:t>
      </w:r>
      <w:proofErr w:type="gramStart"/>
      <w:r>
        <w:rPr>
          <w:rFonts w:ascii="Times New Roman" w:eastAsia="宋体" w:hAnsi="Times New Roman" w:cs="Times New Roman"/>
          <w:color w:val="000000" w:themeColor="text1"/>
          <w:sz w:val="24"/>
          <w:szCs w:val="24"/>
        </w:rPr>
        <w:t>作出</w:t>
      </w:r>
      <w:proofErr w:type="gramEnd"/>
      <w:r>
        <w:rPr>
          <w:rFonts w:ascii="Times New Roman" w:eastAsia="宋体" w:hAnsi="Times New Roman" w:cs="Times New Roman"/>
          <w:color w:val="000000" w:themeColor="text1"/>
          <w:sz w:val="24"/>
          <w:szCs w:val="24"/>
        </w:rPr>
        <w:t>决议，并及时对外披露。</w:t>
      </w:r>
    </w:p>
    <w:p w14:paraId="31111437"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公司提供担保属于下列情形之一的，还应当在董事会审议通过后提交股东会</w:t>
      </w:r>
      <w:r>
        <w:rPr>
          <w:rFonts w:ascii="Times New Roman" w:eastAsia="宋体" w:hAnsi="Times New Roman" w:cs="Times New Roman"/>
          <w:color w:val="000000" w:themeColor="text1"/>
          <w:sz w:val="24"/>
          <w:szCs w:val="24"/>
        </w:rPr>
        <w:lastRenderedPageBreak/>
        <w:t>审议：</w:t>
      </w:r>
    </w:p>
    <w:p w14:paraId="77413F1E"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（一）单笔担保额超过公司最近一期经审计净资产</w:t>
      </w:r>
      <w:r>
        <w:rPr>
          <w:rFonts w:ascii="Times New Roman" w:eastAsia="宋体" w:hAnsi="Times New Roman" w:cs="Times New Roman"/>
          <w:color w:val="000000" w:themeColor="text1"/>
          <w:sz w:val="24"/>
          <w:szCs w:val="24"/>
        </w:rPr>
        <w:t>10%</w:t>
      </w:r>
      <w:r>
        <w:rPr>
          <w:rFonts w:ascii="Times New Roman" w:eastAsia="宋体" w:hAnsi="Times New Roman" w:cs="Times New Roman"/>
          <w:color w:val="000000" w:themeColor="text1"/>
          <w:sz w:val="24"/>
          <w:szCs w:val="24"/>
        </w:rPr>
        <w:t>；</w:t>
      </w:r>
    </w:p>
    <w:p w14:paraId="1D1F6A7F"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（二）公司及其控股子公司对外提供的担保总额，超过公司最近一期经审计净资产</w:t>
      </w:r>
      <w:r>
        <w:rPr>
          <w:rFonts w:ascii="Times New Roman" w:eastAsia="宋体" w:hAnsi="Times New Roman" w:cs="Times New Roman"/>
          <w:color w:val="000000" w:themeColor="text1"/>
          <w:sz w:val="24"/>
          <w:szCs w:val="24"/>
        </w:rPr>
        <w:t>50%</w:t>
      </w:r>
      <w:r>
        <w:rPr>
          <w:rFonts w:ascii="Times New Roman" w:eastAsia="宋体" w:hAnsi="Times New Roman" w:cs="Times New Roman"/>
          <w:color w:val="000000" w:themeColor="text1"/>
          <w:sz w:val="24"/>
          <w:szCs w:val="24"/>
        </w:rPr>
        <w:t>以后提供的任何担保；</w:t>
      </w:r>
    </w:p>
    <w:p w14:paraId="594542B5"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（三）公司及其控股子公司对外提供的担保总额，超过公司最近一期经审计总资产</w:t>
      </w:r>
      <w:r>
        <w:rPr>
          <w:rFonts w:ascii="Times New Roman" w:eastAsia="宋体" w:hAnsi="Times New Roman" w:cs="Times New Roman"/>
          <w:color w:val="000000" w:themeColor="text1"/>
          <w:sz w:val="24"/>
          <w:szCs w:val="24"/>
        </w:rPr>
        <w:t>30%</w:t>
      </w:r>
      <w:r>
        <w:rPr>
          <w:rFonts w:ascii="Times New Roman" w:eastAsia="宋体" w:hAnsi="Times New Roman" w:cs="Times New Roman"/>
          <w:color w:val="000000" w:themeColor="text1"/>
          <w:sz w:val="24"/>
          <w:szCs w:val="24"/>
        </w:rPr>
        <w:t>以后提供的任何担保；</w:t>
      </w:r>
    </w:p>
    <w:p w14:paraId="511CF8EA"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（四）被担保对象最近一期财务报表数据显示资产负债率超过</w:t>
      </w:r>
      <w:r>
        <w:rPr>
          <w:rFonts w:ascii="Times New Roman" w:eastAsia="宋体" w:hAnsi="Times New Roman" w:cs="Times New Roman"/>
          <w:color w:val="000000" w:themeColor="text1"/>
          <w:sz w:val="24"/>
          <w:szCs w:val="24"/>
        </w:rPr>
        <w:t>70%</w:t>
      </w:r>
      <w:r>
        <w:rPr>
          <w:rFonts w:ascii="Times New Roman" w:eastAsia="宋体" w:hAnsi="Times New Roman" w:cs="Times New Roman"/>
          <w:color w:val="000000" w:themeColor="text1"/>
          <w:sz w:val="24"/>
          <w:szCs w:val="24"/>
        </w:rPr>
        <w:t>；</w:t>
      </w:r>
    </w:p>
    <w:p w14:paraId="5F85F6B5"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（五）最近十二个月内担保金额累计计算超过公司最近一期经审计总资产的</w:t>
      </w:r>
      <w:r>
        <w:rPr>
          <w:rFonts w:ascii="Times New Roman" w:eastAsia="宋体" w:hAnsi="Times New Roman" w:cs="Times New Roman"/>
          <w:color w:val="000000" w:themeColor="text1"/>
          <w:sz w:val="24"/>
          <w:szCs w:val="24"/>
        </w:rPr>
        <w:t>30%</w:t>
      </w:r>
      <w:r>
        <w:rPr>
          <w:rFonts w:ascii="Times New Roman" w:eastAsia="宋体" w:hAnsi="Times New Roman" w:cs="Times New Roman"/>
          <w:color w:val="000000" w:themeColor="text1"/>
          <w:sz w:val="24"/>
          <w:szCs w:val="24"/>
        </w:rPr>
        <w:t>；</w:t>
      </w:r>
    </w:p>
    <w:p w14:paraId="31566575"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（六）对股东、实际控制人及其关联人提供的担保；</w:t>
      </w:r>
    </w:p>
    <w:p w14:paraId="5A7EFBF7"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（七）</w:t>
      </w:r>
      <w:r>
        <w:rPr>
          <w:rFonts w:ascii="Times New Roman" w:eastAsia="宋体" w:hAnsi="Times New Roman" w:cs="Times New Roman" w:hint="eastAsia"/>
          <w:color w:val="000000" w:themeColor="text1"/>
          <w:sz w:val="24"/>
          <w:szCs w:val="24"/>
        </w:rPr>
        <w:t>上海证券交易所</w:t>
      </w:r>
      <w:r>
        <w:rPr>
          <w:rFonts w:ascii="Times New Roman" w:eastAsia="宋体" w:hAnsi="Times New Roman" w:cs="Times New Roman"/>
          <w:color w:val="000000" w:themeColor="text1"/>
          <w:sz w:val="24"/>
          <w:szCs w:val="24"/>
        </w:rPr>
        <w:t>或者公司《章程》规定的其他情形。</w:t>
      </w:r>
    </w:p>
    <w:p w14:paraId="138C2ED2"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公司股东会审议前款第五项担保事项时，应当经出席会议的股东所持表决权的三分之二以上通过。</w:t>
      </w:r>
    </w:p>
    <w:p w14:paraId="1A705C9E"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w:t>
      </w:r>
      <w:r>
        <w:rPr>
          <w:rFonts w:ascii="Times New Roman" w:eastAsia="宋体" w:hAnsi="Times New Roman" w:cs="Times New Roman" w:hint="eastAsia"/>
          <w:b/>
          <w:color w:val="000000" w:themeColor="text1"/>
          <w:sz w:val="24"/>
          <w:szCs w:val="24"/>
        </w:rPr>
        <w:t>七</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公司的对外担保事项出现下列情形之一时，应当及时披露：</w:t>
      </w:r>
    </w:p>
    <w:p w14:paraId="639DCA66"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（一）被担保人于债务到期后十五个交易日内未履行还款义务的；</w:t>
      </w:r>
    </w:p>
    <w:p w14:paraId="649A9C70"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（二）被担保人出现破产、清算及其他严重影响还款能力情形的。</w:t>
      </w:r>
    </w:p>
    <w:p w14:paraId="23DB68FB"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w:t>
      </w:r>
      <w:r>
        <w:rPr>
          <w:rFonts w:ascii="Times New Roman" w:eastAsia="宋体" w:hAnsi="Times New Roman" w:cs="Times New Roman" w:hint="eastAsia"/>
          <w:b/>
          <w:color w:val="000000" w:themeColor="text1"/>
          <w:sz w:val="24"/>
          <w:szCs w:val="24"/>
        </w:rPr>
        <w:t>八</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公司为关联人提供担保的，除应当经全体非关联董事的过半数审议通过外，还应当经出席董事会会议的非关联董事的三分之二以上董事审议同意并</w:t>
      </w:r>
      <w:proofErr w:type="gramStart"/>
      <w:r>
        <w:rPr>
          <w:rFonts w:ascii="Times New Roman" w:eastAsia="宋体" w:hAnsi="Times New Roman" w:cs="Times New Roman"/>
          <w:color w:val="000000" w:themeColor="text1"/>
          <w:sz w:val="24"/>
          <w:szCs w:val="24"/>
        </w:rPr>
        <w:t>作出</w:t>
      </w:r>
      <w:proofErr w:type="gramEnd"/>
      <w:r>
        <w:rPr>
          <w:rFonts w:ascii="Times New Roman" w:eastAsia="宋体" w:hAnsi="Times New Roman" w:cs="Times New Roman"/>
          <w:color w:val="000000" w:themeColor="text1"/>
          <w:sz w:val="24"/>
          <w:szCs w:val="24"/>
        </w:rPr>
        <w:t>决议，并提交股东会审议。</w:t>
      </w:r>
    </w:p>
    <w:p w14:paraId="3357294B"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公司因交易导致被担保方成为公司的关联人的，在实施该交易或者关联交易的同时，应当就存续的关联担保履行相应审议程序和信息披露义务。</w:t>
      </w:r>
    </w:p>
    <w:p w14:paraId="5D3DB87D"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董事会或者股东会</w:t>
      </w:r>
      <w:proofErr w:type="gramStart"/>
      <w:r>
        <w:rPr>
          <w:rFonts w:ascii="Times New Roman" w:eastAsia="宋体" w:hAnsi="Times New Roman" w:cs="Times New Roman"/>
          <w:color w:val="000000" w:themeColor="text1"/>
          <w:sz w:val="24"/>
          <w:szCs w:val="24"/>
        </w:rPr>
        <w:t>未审议</w:t>
      </w:r>
      <w:proofErr w:type="gramEnd"/>
      <w:r>
        <w:rPr>
          <w:rFonts w:ascii="Times New Roman" w:eastAsia="宋体" w:hAnsi="Times New Roman" w:cs="Times New Roman"/>
          <w:color w:val="000000" w:themeColor="text1"/>
          <w:sz w:val="24"/>
          <w:szCs w:val="24"/>
        </w:rPr>
        <w:t>通过前款规定的关联担保事项的，交易各方应当采取提前终止担保等有效措施。</w:t>
      </w:r>
    </w:p>
    <w:p w14:paraId="520A456C"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w:t>
      </w:r>
      <w:r>
        <w:rPr>
          <w:rFonts w:ascii="Times New Roman" w:eastAsia="宋体" w:hAnsi="Times New Roman" w:cs="Times New Roman" w:hint="eastAsia"/>
          <w:b/>
          <w:color w:val="000000" w:themeColor="text1"/>
          <w:sz w:val="24"/>
          <w:szCs w:val="24"/>
        </w:rPr>
        <w:t>九</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公司向其控股子公司提供担保，如每年发生数量众多、需要经常订立担保协议而难以就每份协议提交董事会或者股东会审议的，公司可以对最近一期财务报表资产负债率为</w:t>
      </w:r>
      <w:r>
        <w:rPr>
          <w:rFonts w:ascii="Times New Roman" w:eastAsia="宋体" w:hAnsi="Times New Roman" w:cs="Times New Roman"/>
          <w:color w:val="000000" w:themeColor="text1"/>
          <w:sz w:val="24"/>
          <w:szCs w:val="24"/>
        </w:rPr>
        <w:t>70%</w:t>
      </w:r>
      <w:r>
        <w:rPr>
          <w:rFonts w:ascii="Times New Roman" w:eastAsia="宋体" w:hAnsi="Times New Roman" w:cs="Times New Roman"/>
          <w:color w:val="000000" w:themeColor="text1"/>
          <w:sz w:val="24"/>
          <w:szCs w:val="24"/>
        </w:rPr>
        <w:t>以上和</w:t>
      </w:r>
      <w:r>
        <w:rPr>
          <w:rFonts w:ascii="Times New Roman" w:eastAsia="宋体" w:hAnsi="Times New Roman" w:cs="Times New Roman"/>
          <w:color w:val="000000" w:themeColor="text1"/>
          <w:sz w:val="24"/>
          <w:szCs w:val="24"/>
        </w:rPr>
        <w:t>70%</w:t>
      </w:r>
      <w:r>
        <w:rPr>
          <w:rFonts w:ascii="Times New Roman" w:eastAsia="宋体" w:hAnsi="Times New Roman" w:cs="Times New Roman"/>
          <w:color w:val="000000" w:themeColor="text1"/>
          <w:sz w:val="24"/>
          <w:szCs w:val="24"/>
        </w:rPr>
        <w:t>以下的两类子公司分别预计未来十二个月的新增</w:t>
      </w:r>
      <w:proofErr w:type="gramStart"/>
      <w:r>
        <w:rPr>
          <w:rFonts w:ascii="Times New Roman" w:eastAsia="宋体" w:hAnsi="Times New Roman" w:cs="Times New Roman"/>
          <w:color w:val="000000" w:themeColor="text1"/>
          <w:sz w:val="24"/>
          <w:szCs w:val="24"/>
        </w:rPr>
        <w:t>担保总</w:t>
      </w:r>
      <w:proofErr w:type="gramEnd"/>
      <w:r>
        <w:rPr>
          <w:rFonts w:ascii="Times New Roman" w:eastAsia="宋体" w:hAnsi="Times New Roman" w:cs="Times New Roman"/>
          <w:color w:val="000000" w:themeColor="text1"/>
          <w:sz w:val="24"/>
          <w:szCs w:val="24"/>
        </w:rPr>
        <w:t>额度，并提交股东会审议。</w:t>
      </w:r>
    </w:p>
    <w:p w14:paraId="4488E01B"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前述担保事项实际发生时，公司应当及时披露。任一时点的担保余额不得超过股东会审议通过的担保额度。</w:t>
      </w:r>
    </w:p>
    <w:p w14:paraId="11B5019E"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lastRenderedPageBreak/>
        <w:t>第十条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向其合营或者联营企业提供担保且同时满足下列条件，如每年发生数量众多、需要经常订立担保协议而难以就每份协议提交董事会或者股东会审议的，公司可以对未来十二个月内拟提供担保的具体对象及其对应新增担保额度进行合理预计，并提交股东会审议：</w:t>
      </w:r>
    </w:p>
    <w:p w14:paraId="680BBCC0"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（一）被担保人不是公司的董事、高级管理人员、持股</w:t>
      </w:r>
      <w:r>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以上的股东、实际控制人及其控制的法人或其他组织；</w:t>
      </w:r>
    </w:p>
    <w:p w14:paraId="2554EDFD"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（二）被担保人的各股东按出资比例对其提供同等担保或反担保等风险控制措施。</w:t>
      </w:r>
    </w:p>
    <w:p w14:paraId="49B0763E"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前述担保事项实际发生时，公司应当及时披露，任一时点的担保余额不得超过股东会审议通过的担保额度。</w:t>
      </w:r>
    </w:p>
    <w:p w14:paraId="55FC3A10"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第十</w:t>
      </w:r>
      <w:r>
        <w:rPr>
          <w:rFonts w:ascii="Times New Roman" w:eastAsia="宋体" w:hAnsi="Times New Roman" w:cs="Times New Roman" w:hint="eastAsia"/>
          <w:b/>
          <w:color w:val="000000" w:themeColor="text1"/>
          <w:sz w:val="24"/>
          <w:szCs w:val="24"/>
        </w:rPr>
        <w:t>一</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公司向合营或者联营企业进行担保额度预计，同时满足下列条件的，可以在其合营或联营企业之间进行担保额度调剂，但累计调剂总额不得超过预计</w:t>
      </w:r>
      <w:proofErr w:type="gramStart"/>
      <w:r>
        <w:rPr>
          <w:rFonts w:ascii="Times New Roman" w:eastAsia="宋体" w:hAnsi="Times New Roman" w:cs="Times New Roman"/>
          <w:color w:val="000000" w:themeColor="text1"/>
          <w:sz w:val="24"/>
          <w:szCs w:val="24"/>
        </w:rPr>
        <w:t>担保总</w:t>
      </w:r>
      <w:proofErr w:type="gramEnd"/>
      <w:r>
        <w:rPr>
          <w:rFonts w:ascii="Times New Roman" w:eastAsia="宋体" w:hAnsi="Times New Roman" w:cs="Times New Roman"/>
          <w:color w:val="000000" w:themeColor="text1"/>
          <w:sz w:val="24"/>
          <w:szCs w:val="24"/>
        </w:rPr>
        <w:t>额度的</w:t>
      </w:r>
      <w:r>
        <w:rPr>
          <w:rFonts w:ascii="Times New Roman" w:eastAsia="宋体" w:hAnsi="Times New Roman" w:cs="Times New Roman"/>
          <w:color w:val="000000" w:themeColor="text1"/>
          <w:sz w:val="24"/>
          <w:szCs w:val="24"/>
        </w:rPr>
        <w:t>50%</w:t>
      </w:r>
      <w:r>
        <w:rPr>
          <w:rFonts w:ascii="Times New Roman" w:eastAsia="宋体" w:hAnsi="Times New Roman" w:cs="Times New Roman"/>
          <w:color w:val="000000" w:themeColor="text1"/>
          <w:sz w:val="24"/>
          <w:szCs w:val="24"/>
        </w:rPr>
        <w:t>：</w:t>
      </w:r>
    </w:p>
    <w:p w14:paraId="484C5C4B"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（一）获调剂方的单笔调</w:t>
      </w:r>
      <w:proofErr w:type="gramStart"/>
      <w:r>
        <w:rPr>
          <w:rFonts w:ascii="Times New Roman" w:eastAsia="宋体" w:hAnsi="Times New Roman" w:cs="Times New Roman"/>
          <w:color w:val="000000" w:themeColor="text1"/>
          <w:sz w:val="24"/>
          <w:szCs w:val="24"/>
        </w:rPr>
        <w:t>剂金额</w:t>
      </w:r>
      <w:proofErr w:type="gramEnd"/>
      <w:r>
        <w:rPr>
          <w:rFonts w:ascii="Times New Roman" w:eastAsia="宋体" w:hAnsi="Times New Roman" w:cs="Times New Roman"/>
          <w:color w:val="000000" w:themeColor="text1"/>
          <w:sz w:val="24"/>
          <w:szCs w:val="24"/>
        </w:rPr>
        <w:t>不超过公司最近一期经审计净资产的</w:t>
      </w:r>
      <w:r>
        <w:rPr>
          <w:rFonts w:ascii="Times New Roman" w:eastAsia="宋体" w:hAnsi="Times New Roman" w:cs="Times New Roman"/>
          <w:color w:val="000000" w:themeColor="text1"/>
          <w:sz w:val="24"/>
          <w:szCs w:val="24"/>
        </w:rPr>
        <w:t>10%</w:t>
      </w:r>
      <w:r>
        <w:rPr>
          <w:rFonts w:ascii="Times New Roman" w:eastAsia="宋体" w:hAnsi="Times New Roman" w:cs="Times New Roman"/>
          <w:color w:val="000000" w:themeColor="text1"/>
          <w:sz w:val="24"/>
          <w:szCs w:val="24"/>
        </w:rPr>
        <w:t>；</w:t>
      </w:r>
    </w:p>
    <w:p w14:paraId="347D72FA"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（二）在调剂发生时资产负债率超过</w:t>
      </w:r>
      <w:r>
        <w:rPr>
          <w:rFonts w:ascii="Times New Roman" w:eastAsia="宋体" w:hAnsi="Times New Roman" w:cs="Times New Roman"/>
          <w:color w:val="000000" w:themeColor="text1"/>
          <w:sz w:val="24"/>
          <w:szCs w:val="24"/>
        </w:rPr>
        <w:t>70%</w:t>
      </w:r>
      <w:r>
        <w:rPr>
          <w:rFonts w:ascii="Times New Roman" w:eastAsia="宋体" w:hAnsi="Times New Roman" w:cs="Times New Roman"/>
          <w:color w:val="000000" w:themeColor="text1"/>
          <w:sz w:val="24"/>
          <w:szCs w:val="24"/>
        </w:rPr>
        <w:t>的担保对象，仅能从资产负债率超过</w:t>
      </w:r>
      <w:r>
        <w:rPr>
          <w:rFonts w:ascii="Times New Roman" w:eastAsia="宋体" w:hAnsi="Times New Roman" w:cs="Times New Roman"/>
          <w:color w:val="000000" w:themeColor="text1"/>
          <w:sz w:val="24"/>
          <w:szCs w:val="24"/>
        </w:rPr>
        <w:t>70%</w:t>
      </w:r>
      <w:r>
        <w:rPr>
          <w:rFonts w:ascii="Times New Roman" w:eastAsia="宋体" w:hAnsi="Times New Roman" w:cs="Times New Roman"/>
          <w:color w:val="000000" w:themeColor="text1"/>
          <w:sz w:val="24"/>
          <w:szCs w:val="24"/>
        </w:rPr>
        <w:t>（股东会审议担保额度时）的担保对象处获得担保额度；</w:t>
      </w:r>
    </w:p>
    <w:p w14:paraId="4BB0B078"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（三）在调剂发生时，获调剂方不存在逾期</w:t>
      </w:r>
      <w:proofErr w:type="gramStart"/>
      <w:r>
        <w:rPr>
          <w:rFonts w:ascii="Times New Roman" w:eastAsia="宋体" w:hAnsi="Times New Roman" w:cs="Times New Roman"/>
          <w:color w:val="000000" w:themeColor="text1"/>
          <w:sz w:val="24"/>
          <w:szCs w:val="24"/>
        </w:rPr>
        <w:t>未偿</w:t>
      </w:r>
      <w:proofErr w:type="gramEnd"/>
      <w:r>
        <w:rPr>
          <w:rFonts w:ascii="Times New Roman" w:eastAsia="宋体" w:hAnsi="Times New Roman" w:cs="Times New Roman"/>
          <w:color w:val="000000" w:themeColor="text1"/>
          <w:sz w:val="24"/>
          <w:szCs w:val="24"/>
        </w:rPr>
        <w:t>还负债等情况；</w:t>
      </w:r>
    </w:p>
    <w:p w14:paraId="546EC8A7"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（四）获调剂方的各股东按出资比例对其提供同等担保或反担保等风险控制措施。</w:t>
      </w:r>
    </w:p>
    <w:p w14:paraId="146085DD"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前述调剂事项实际发生时，公司应当及时披露。</w:t>
      </w:r>
    </w:p>
    <w:p w14:paraId="6CD422E9"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第十</w:t>
      </w:r>
      <w:r>
        <w:rPr>
          <w:rFonts w:ascii="Times New Roman" w:eastAsia="宋体" w:hAnsi="Times New Roman" w:cs="Times New Roman" w:hint="eastAsia"/>
          <w:b/>
          <w:color w:val="000000" w:themeColor="text1"/>
          <w:sz w:val="24"/>
          <w:szCs w:val="24"/>
        </w:rPr>
        <w:t>二</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公司应当持续关注被担保人的财务状况及偿债能力等，如发现被担保人经营状况严重恶化或者发生公司解散、分立等重大事项的，公司董事会应当及时采取有效措施，将损失降低到最小程度。</w:t>
      </w:r>
    </w:p>
    <w:p w14:paraId="741F38D4"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提供担保的债务到期后，公司应当督促被担保人在限定时间内履行偿债义务。若被担保人未能按时履行义务，公司应当及时采取必要的补救措施。</w:t>
      </w:r>
    </w:p>
    <w:p w14:paraId="5C7D344A"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第十</w:t>
      </w:r>
      <w:r>
        <w:rPr>
          <w:rFonts w:ascii="Times New Roman" w:eastAsia="宋体" w:hAnsi="Times New Roman" w:cs="Times New Roman" w:hint="eastAsia"/>
          <w:b/>
          <w:color w:val="000000" w:themeColor="text1"/>
          <w:sz w:val="24"/>
          <w:szCs w:val="24"/>
        </w:rPr>
        <w:t>三</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公司担保的债务到期后需展期并继续由其提供担保的，应当作为新的对外担保，重新履行审议程序和信息披露义务。</w:t>
      </w:r>
    </w:p>
    <w:p w14:paraId="4C89613D"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第十</w:t>
      </w:r>
      <w:r>
        <w:rPr>
          <w:rFonts w:ascii="Times New Roman" w:eastAsia="宋体" w:hAnsi="Times New Roman" w:cs="Times New Roman" w:hint="eastAsia"/>
          <w:b/>
          <w:color w:val="000000" w:themeColor="text1"/>
          <w:sz w:val="24"/>
          <w:szCs w:val="24"/>
        </w:rPr>
        <w:t>四</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公司控股子公司为公司合并报表范围内的法人或者其他组织提供担保的，公司应当在控股子公司履行审议程序后及时披露。需要提交公司股东会</w:t>
      </w:r>
      <w:r>
        <w:rPr>
          <w:rFonts w:ascii="Times New Roman" w:eastAsia="宋体" w:hAnsi="Times New Roman" w:cs="Times New Roman"/>
          <w:color w:val="000000" w:themeColor="text1"/>
          <w:sz w:val="24"/>
          <w:szCs w:val="24"/>
        </w:rPr>
        <w:lastRenderedPageBreak/>
        <w:t>审议的担保事项除外。</w:t>
      </w:r>
    </w:p>
    <w:p w14:paraId="4D643C46"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公司控股子公司对公司提供的担保不适用前款规定。</w:t>
      </w:r>
    </w:p>
    <w:p w14:paraId="3E5B383D" w14:textId="77777777" w:rsidR="00E00E46" w:rsidRDefault="00000000">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未经公司董事会或股东会批准，公司控股子公司不得为本条第一款规定主体以外的其他主体提供担保。</w:t>
      </w:r>
    </w:p>
    <w:p w14:paraId="004BB60D"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第十</w:t>
      </w:r>
      <w:r>
        <w:rPr>
          <w:rFonts w:ascii="Times New Roman" w:eastAsia="宋体" w:hAnsi="Times New Roman" w:cs="Times New Roman" w:hint="eastAsia"/>
          <w:b/>
          <w:color w:val="000000" w:themeColor="text1"/>
          <w:sz w:val="24"/>
          <w:szCs w:val="24"/>
        </w:rPr>
        <w:t>五</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bookmarkStart w:id="1" w:name="_Hlk201139104"/>
      <w:r>
        <w:rPr>
          <w:rFonts w:ascii="Times New Roman" w:eastAsia="宋体" w:hAnsi="Times New Roman" w:cs="Times New Roman"/>
          <w:color w:val="000000" w:themeColor="text1"/>
          <w:sz w:val="24"/>
          <w:szCs w:val="24"/>
        </w:rPr>
        <w:t>公司及其控股子公司提供反担保应当比照担保的相关规定执行</w:t>
      </w:r>
      <w:bookmarkEnd w:id="1"/>
      <w:r>
        <w:rPr>
          <w:rFonts w:ascii="Times New Roman" w:eastAsia="宋体" w:hAnsi="Times New Roman" w:cs="Times New Roman"/>
          <w:color w:val="000000" w:themeColor="text1"/>
          <w:sz w:val="24"/>
          <w:szCs w:val="24"/>
        </w:rPr>
        <w:t>，以其提供的反担保金额为标准履行相应审议程序和信息披露义务，但公司及其控股子公司为以自身债务为基础的担保提供反担保的除外。</w:t>
      </w:r>
    </w:p>
    <w:p w14:paraId="08383C7C" w14:textId="77777777" w:rsidR="00E00E46" w:rsidRDefault="00000000">
      <w:pPr>
        <w:spacing w:beforeLines="50" w:before="156" w:afterLines="50" w:after="156" w:line="360" w:lineRule="auto"/>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第四章</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对外担保的管理</w:t>
      </w:r>
    </w:p>
    <w:p w14:paraId="258D5DE7"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第十</w:t>
      </w:r>
      <w:r>
        <w:rPr>
          <w:rFonts w:ascii="Times New Roman" w:eastAsia="宋体" w:hAnsi="Times New Roman" w:cs="Times New Roman" w:hint="eastAsia"/>
          <w:b/>
          <w:color w:val="000000" w:themeColor="text1"/>
          <w:sz w:val="24"/>
          <w:szCs w:val="24"/>
        </w:rPr>
        <w:t>六</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公司董事会应当建立定期核查制度，对公司担保行为进行核查。公司发生违规担保行为的，应当及时披露，并采取合理、有效措施解除或者改正违规担保行为，降低公司损失，维护公司及中小股东的利益，并追究有关人员的责任。</w:t>
      </w:r>
    </w:p>
    <w:p w14:paraId="6B5A1B38"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第十</w:t>
      </w:r>
      <w:r>
        <w:rPr>
          <w:rFonts w:ascii="Times New Roman" w:eastAsia="宋体" w:hAnsi="Times New Roman" w:cs="Times New Roman" w:hint="eastAsia"/>
          <w:b/>
          <w:color w:val="000000" w:themeColor="text1"/>
          <w:sz w:val="24"/>
          <w:szCs w:val="24"/>
        </w:rPr>
        <w:t>七</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因控股股东、实际控制人及其关联人不及时偿债，导致公司承担担保责任的，公司董事会应当及时采取追讨、诉讼、财产保全、责令提供担保等保护性措施避免或者减少损失，并追究有关人员的责任。</w:t>
      </w:r>
    </w:p>
    <w:p w14:paraId="53E3A329" w14:textId="77777777" w:rsidR="00E00E46" w:rsidRDefault="00000000">
      <w:pPr>
        <w:spacing w:beforeLines="50" w:before="156" w:afterLines="50" w:after="156" w:line="360" w:lineRule="auto"/>
        <w:jc w:val="center"/>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第五章</w:t>
      </w:r>
      <w:r>
        <w:rPr>
          <w:rFonts w:ascii="Times New Roman" w:eastAsia="宋体" w:hAnsi="Times New Roman" w:cs="Times New Roman"/>
          <w:b/>
          <w:color w:val="000000" w:themeColor="text1"/>
          <w:sz w:val="24"/>
          <w:szCs w:val="24"/>
        </w:rPr>
        <w:t xml:space="preserve"> </w:t>
      </w:r>
      <w:r>
        <w:rPr>
          <w:rFonts w:ascii="Times New Roman" w:eastAsia="宋体" w:hAnsi="Times New Roman" w:cs="Times New Roman"/>
          <w:b/>
          <w:color w:val="000000" w:themeColor="text1"/>
          <w:sz w:val="24"/>
          <w:szCs w:val="24"/>
        </w:rPr>
        <w:t>附则</w:t>
      </w:r>
    </w:p>
    <w:p w14:paraId="0DE98800" w14:textId="77777777" w:rsidR="00E00E46"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color w:val="000000" w:themeColor="text1"/>
          <w:sz w:val="24"/>
          <w:szCs w:val="24"/>
        </w:rPr>
        <w:t>第十</w:t>
      </w:r>
      <w:r>
        <w:rPr>
          <w:rFonts w:ascii="Times New Roman" w:eastAsia="宋体" w:hAnsi="Times New Roman" w:cs="Times New Roman" w:hint="eastAsia"/>
          <w:b/>
          <w:color w:val="000000" w:themeColor="text1"/>
          <w:sz w:val="24"/>
          <w:szCs w:val="24"/>
        </w:rPr>
        <w:t>八</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sz w:val="24"/>
          <w:szCs w:val="24"/>
        </w:rPr>
        <w:t>本</w:t>
      </w:r>
      <w:r>
        <w:rPr>
          <w:rFonts w:ascii="Times New Roman" w:eastAsia="宋体" w:hAnsi="Times New Roman" w:cs="Times New Roman" w:hint="eastAsia"/>
          <w:sz w:val="24"/>
          <w:szCs w:val="24"/>
        </w:rPr>
        <w:t>制度</w:t>
      </w:r>
      <w:r>
        <w:rPr>
          <w:rFonts w:ascii="Times New Roman" w:eastAsia="宋体" w:hAnsi="Times New Roman" w:cs="Times New Roman"/>
          <w:sz w:val="24"/>
          <w:szCs w:val="24"/>
        </w:rPr>
        <w:t>未尽事宜，按照国家有关法律、行政法规、部门规章、规范性文件和公司《章程》的规定执行。本</w:t>
      </w:r>
      <w:r>
        <w:rPr>
          <w:rFonts w:ascii="Times New Roman" w:eastAsia="宋体" w:hAnsi="Times New Roman" w:cs="Times New Roman" w:hint="eastAsia"/>
          <w:sz w:val="24"/>
          <w:szCs w:val="24"/>
        </w:rPr>
        <w:t>制度</w:t>
      </w:r>
      <w:r>
        <w:rPr>
          <w:rFonts w:ascii="Times New Roman" w:eastAsia="宋体" w:hAnsi="Times New Roman" w:cs="Times New Roman"/>
          <w:sz w:val="24"/>
          <w:szCs w:val="24"/>
        </w:rPr>
        <w:t>如与国家日后颁布的法律、行政法规、部门规章、规范性文件或经合法程序修改后的公司《章程》相冲突，按新的规定执行，并及时对本</w:t>
      </w:r>
      <w:r>
        <w:rPr>
          <w:rFonts w:ascii="Times New Roman" w:eastAsia="宋体" w:hAnsi="Times New Roman" w:cs="Times New Roman" w:hint="eastAsia"/>
          <w:sz w:val="24"/>
          <w:szCs w:val="24"/>
        </w:rPr>
        <w:t>制度</w:t>
      </w:r>
      <w:r>
        <w:rPr>
          <w:rFonts w:ascii="Times New Roman" w:eastAsia="宋体" w:hAnsi="Times New Roman" w:cs="Times New Roman"/>
          <w:sz w:val="24"/>
          <w:szCs w:val="24"/>
        </w:rPr>
        <w:t>进行修订。</w:t>
      </w:r>
    </w:p>
    <w:p w14:paraId="5C961E08"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w:t>
      </w:r>
      <w:r>
        <w:rPr>
          <w:rFonts w:ascii="Times New Roman" w:eastAsia="宋体" w:hAnsi="Times New Roman" w:cs="Times New Roman" w:hint="eastAsia"/>
          <w:b/>
          <w:color w:val="000000" w:themeColor="text1"/>
          <w:sz w:val="24"/>
          <w:szCs w:val="24"/>
        </w:rPr>
        <w:t>十九</w:t>
      </w:r>
      <w:r>
        <w:rPr>
          <w:rFonts w:ascii="Times New Roman" w:eastAsia="宋体" w:hAnsi="Times New Roman" w:cs="Times New Roman"/>
          <w:b/>
          <w:color w:val="000000" w:themeColor="text1"/>
          <w:sz w:val="24"/>
          <w:szCs w:val="24"/>
        </w:rPr>
        <w:t>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本</w:t>
      </w:r>
      <w:r>
        <w:rPr>
          <w:rFonts w:ascii="Times New Roman" w:eastAsia="宋体" w:hAnsi="Times New Roman" w:cs="Times New Roman" w:hint="eastAsia"/>
          <w:color w:val="000000" w:themeColor="text1"/>
          <w:sz w:val="24"/>
          <w:szCs w:val="24"/>
        </w:rPr>
        <w:t>制度</w:t>
      </w:r>
      <w:r>
        <w:rPr>
          <w:rFonts w:ascii="Times New Roman" w:eastAsia="宋体" w:hAnsi="Times New Roman" w:cs="Times New Roman"/>
          <w:color w:val="000000" w:themeColor="text1"/>
          <w:sz w:val="24"/>
          <w:szCs w:val="24"/>
        </w:rPr>
        <w:t>须经公司董事会审议通过后提交</w:t>
      </w:r>
      <w:proofErr w:type="gramStart"/>
      <w:r>
        <w:rPr>
          <w:rFonts w:ascii="Times New Roman" w:eastAsia="宋体" w:hAnsi="Times New Roman" w:cs="Times New Roman"/>
          <w:color w:val="000000" w:themeColor="text1"/>
          <w:sz w:val="24"/>
          <w:szCs w:val="24"/>
        </w:rPr>
        <w:t>至股东</w:t>
      </w:r>
      <w:proofErr w:type="gramEnd"/>
      <w:r>
        <w:rPr>
          <w:rFonts w:ascii="Times New Roman" w:eastAsia="宋体" w:hAnsi="Times New Roman" w:cs="Times New Roman"/>
          <w:color w:val="000000" w:themeColor="text1"/>
          <w:sz w:val="24"/>
          <w:szCs w:val="24"/>
        </w:rPr>
        <w:t>会批准后生效。</w:t>
      </w:r>
    </w:p>
    <w:p w14:paraId="1A0F3829" w14:textId="77777777" w:rsidR="00E00E46" w:rsidRDefault="00000000">
      <w:pPr>
        <w:spacing w:line="360" w:lineRule="auto"/>
        <w:ind w:firstLineChars="200" w:firstLine="482"/>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第二十条</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本</w:t>
      </w:r>
      <w:r>
        <w:rPr>
          <w:rFonts w:ascii="Times New Roman" w:eastAsia="宋体" w:hAnsi="Times New Roman" w:cs="Times New Roman" w:hint="eastAsia"/>
          <w:color w:val="000000" w:themeColor="text1"/>
          <w:sz w:val="24"/>
          <w:szCs w:val="24"/>
        </w:rPr>
        <w:t>制度</w:t>
      </w:r>
      <w:r>
        <w:rPr>
          <w:rFonts w:ascii="Times New Roman" w:eastAsia="宋体" w:hAnsi="Times New Roman" w:cs="Times New Roman"/>
          <w:color w:val="000000" w:themeColor="text1"/>
          <w:sz w:val="24"/>
          <w:szCs w:val="24"/>
        </w:rPr>
        <w:t>由公司董事会负责解释。</w:t>
      </w:r>
    </w:p>
    <w:p w14:paraId="25A874E1" w14:textId="77777777" w:rsidR="00E00E46" w:rsidRDefault="00E00E46">
      <w:pPr>
        <w:spacing w:line="360" w:lineRule="auto"/>
        <w:ind w:firstLineChars="200" w:firstLine="480"/>
        <w:rPr>
          <w:rFonts w:ascii="Times New Roman" w:eastAsia="宋体" w:hAnsi="Times New Roman" w:cs="Times New Roman"/>
          <w:color w:val="000000" w:themeColor="text1"/>
          <w:sz w:val="24"/>
          <w:szCs w:val="24"/>
        </w:rPr>
      </w:pPr>
    </w:p>
    <w:p w14:paraId="5F60E19A" w14:textId="77777777" w:rsidR="00E00E46" w:rsidRDefault="00E00E46">
      <w:pPr>
        <w:spacing w:line="360" w:lineRule="auto"/>
        <w:ind w:firstLineChars="200" w:firstLine="480"/>
        <w:rPr>
          <w:rFonts w:ascii="Times New Roman" w:eastAsia="宋体" w:hAnsi="Times New Roman" w:cs="Times New Roman"/>
          <w:color w:val="000000" w:themeColor="text1"/>
          <w:sz w:val="24"/>
          <w:szCs w:val="24"/>
        </w:rPr>
      </w:pPr>
    </w:p>
    <w:p w14:paraId="6279C265" w14:textId="77777777" w:rsidR="00E00E46" w:rsidRDefault="00000000">
      <w:pPr>
        <w:spacing w:line="360" w:lineRule="auto"/>
        <w:ind w:firstLineChars="200" w:firstLine="48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           </w:t>
      </w:r>
    </w:p>
    <w:sectPr w:rsidR="00E00E4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58883" w14:textId="77777777" w:rsidR="00431912" w:rsidRDefault="00431912">
      <w:r>
        <w:separator/>
      </w:r>
    </w:p>
  </w:endnote>
  <w:endnote w:type="continuationSeparator" w:id="0">
    <w:p w14:paraId="795CB923" w14:textId="77777777" w:rsidR="00431912" w:rsidRDefault="004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955355"/>
    </w:sdtPr>
    <w:sdtContent>
      <w:p w14:paraId="6FD8FB23" w14:textId="77777777" w:rsidR="00E00E46" w:rsidRDefault="00000000">
        <w:pPr>
          <w:pStyle w:val="a3"/>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C7FAC" w14:textId="77777777" w:rsidR="00431912" w:rsidRDefault="00431912">
      <w:r>
        <w:separator/>
      </w:r>
    </w:p>
  </w:footnote>
  <w:footnote w:type="continuationSeparator" w:id="0">
    <w:p w14:paraId="3EAFF3A7" w14:textId="77777777" w:rsidR="00431912" w:rsidRDefault="00431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B9"/>
    <w:rsid w:val="000562B1"/>
    <w:rsid w:val="00431912"/>
    <w:rsid w:val="004F067A"/>
    <w:rsid w:val="005D2B04"/>
    <w:rsid w:val="00980833"/>
    <w:rsid w:val="009B6971"/>
    <w:rsid w:val="00E00E46"/>
    <w:rsid w:val="00FB2FB9"/>
    <w:rsid w:val="16C469AE"/>
    <w:rsid w:val="295B0105"/>
    <w:rsid w:val="2B634FBD"/>
    <w:rsid w:val="30843C76"/>
    <w:rsid w:val="56007711"/>
    <w:rsid w:val="6E8E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6ABA49-7D4B-464B-B6B3-217E8B6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1433</Characters>
  <Application>Microsoft Office Word</Application>
  <DocSecurity>0</DocSecurity>
  <Lines>57</Lines>
  <Paragraphs>54</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刘敏</dc:creator>
  <cp:lastModifiedBy>g h</cp:lastModifiedBy>
  <cp:revision>3</cp:revision>
  <dcterms:created xsi:type="dcterms:W3CDTF">2025-06-18T07:54:00Z</dcterms:created>
  <dcterms:modified xsi:type="dcterms:W3CDTF">2025-10-04T06:41:00Z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eyJoZGlkIjoiYTM5NDJmNDY3MDc4NWQ0YWM5OWEyNTZkMTMxZGIyOTMiLCJ1c2VySWQiOiIyOTU5OTA1NDYifQ==</vt:lpwstr>
  </property>
  <property fmtid="{D5CDD505-2E9C-101B-9397-08002B2CF9AE}" pid="3" name="KSOProductBuildVer">
    <vt:lpwstr>2052-12.1.0.22529</vt:lpwstr>
  </property>
  <property fmtid="{D5CDD505-2E9C-101B-9397-08002B2CF9AE}" pid="4" name="ICV">
    <vt:lpwstr>7FD2790639824F0086CC31FEA94D9F91_13</vt:lpwstr>
  </property>
</Properties>
</file>