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28137">
      <w:pPr>
        <w:spacing w:line="360" w:lineRule="auto"/>
        <w:jc w:val="center"/>
        <w:rPr>
          <w:rFonts w:ascii="Times New Roman" w:hAnsi="Times New Roman" w:eastAsia="宋体" w:cs="Times New Roman"/>
          <w:b/>
          <w:color w:val="000000" w:themeColor="text1"/>
          <w:sz w:val="28"/>
          <w:szCs w:val="28"/>
          <w14:textFill>
            <w14:solidFill>
              <w14:schemeClr w14:val="tx1"/>
            </w14:solidFill>
          </w14:textFill>
        </w:rPr>
      </w:pPr>
      <w:r>
        <w:rPr>
          <w:rFonts w:hint="eastAsia" w:ascii="Times New Roman" w:hAnsi="Times New Roman" w:eastAsia="宋体" w:cs="Times New Roman"/>
          <w:b/>
          <w:color w:val="000000" w:themeColor="text1"/>
          <w:sz w:val="28"/>
          <w:szCs w:val="28"/>
          <w14:textFill>
            <w14:solidFill>
              <w14:schemeClr w14:val="tx1"/>
            </w14:solidFill>
          </w14:textFill>
        </w:rPr>
        <w:t>山东好当家海洋发展股份有限公司</w:t>
      </w:r>
    </w:p>
    <w:p w14:paraId="746579DC">
      <w:pPr>
        <w:spacing w:line="360" w:lineRule="auto"/>
        <w:jc w:val="center"/>
        <w:rPr>
          <w:rFonts w:ascii="Times New Roman" w:hAnsi="Times New Roman" w:eastAsia="宋体" w:cs="Times New Roman"/>
          <w:b/>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董事和高级管理人员持有公司股份及其变动管理制度</w:t>
      </w:r>
    </w:p>
    <w:p w14:paraId="177C968F">
      <w:pPr>
        <w:spacing w:before="156" w:beforeLines="50" w:after="156" w:afterLines="50" w:line="360" w:lineRule="auto"/>
        <w:jc w:val="center"/>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第一章 总 则</w:t>
      </w:r>
    </w:p>
    <w:p w14:paraId="302F2591">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bookmarkStart w:id="11" w:name="_GoBack"/>
      <w:bookmarkEnd w:id="11"/>
      <w:r>
        <w:rPr>
          <w:rFonts w:ascii="Times New Roman" w:hAnsi="Times New Roman" w:eastAsia="宋体" w:cs="Times New Roman"/>
          <w:b/>
          <w:color w:val="000000" w:themeColor="text1"/>
          <w:sz w:val="24"/>
          <w:szCs w:val="24"/>
          <w14:textFill>
            <w14:solidFill>
              <w14:schemeClr w14:val="tx1"/>
            </w14:solidFill>
          </w14:textFill>
        </w:rPr>
        <w:t>第一条</w:t>
      </w:r>
      <w:r>
        <w:rPr>
          <w:rFonts w:ascii="Times New Roman" w:hAnsi="Times New Roman" w:eastAsia="宋体" w:cs="Times New Roman"/>
          <w:color w:val="000000" w:themeColor="text1"/>
          <w:sz w:val="24"/>
          <w:szCs w:val="24"/>
          <w14:textFill>
            <w14:solidFill>
              <w14:schemeClr w14:val="tx1"/>
            </w14:solidFill>
          </w14:textFill>
        </w:rPr>
        <w:t xml:space="preserve"> 为加强</w:t>
      </w:r>
      <w:r>
        <w:rPr>
          <w:rFonts w:hint="eastAsia" w:ascii="Times New Roman" w:hAnsi="Times New Roman" w:eastAsia="宋体" w:cs="Times New Roman"/>
          <w:color w:val="000000" w:themeColor="text1"/>
          <w:sz w:val="24"/>
          <w:szCs w:val="24"/>
          <w14:textFill>
            <w14:solidFill>
              <w14:schemeClr w14:val="tx1"/>
            </w14:solidFill>
          </w14:textFill>
        </w:rPr>
        <w:t>山东好当家海洋发展股份有限公司</w:t>
      </w:r>
      <w:r>
        <w:rPr>
          <w:rFonts w:ascii="Times New Roman" w:hAnsi="Times New Roman" w:eastAsia="宋体" w:cs="Times New Roman"/>
          <w:color w:val="000000" w:themeColor="text1"/>
          <w:sz w:val="24"/>
          <w:szCs w:val="24"/>
          <w14:textFill>
            <w14:solidFill>
              <w14:schemeClr w14:val="tx1"/>
            </w14:solidFill>
          </w14:textFill>
        </w:rPr>
        <w:t>（以下简称</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公司</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或</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本公司</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）对董事和高级管理人员持有本公司股份及其变动的管理，根据《中华人民共和国公司法》（以下简称</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《公司法》</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）《中华人民共和国证券法》（以下简称</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《证券法》</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）、中国证券监督管理委员会（以下简称</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中国证监会</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）《上市公司股东减持股份管理暂行办法》《上市公司董事和高级管理人员所持本公司股份及其变动管理规则》《</w:t>
      </w:r>
      <w:r>
        <w:rPr>
          <w:rFonts w:hint="eastAsia" w:ascii="Times New Roman" w:hAnsi="Times New Roman" w:eastAsia="宋体" w:cs="Times New Roman"/>
          <w:color w:val="000000" w:themeColor="text1"/>
          <w:sz w:val="24"/>
          <w:szCs w:val="24"/>
          <w14:textFill>
            <w14:solidFill>
              <w14:schemeClr w14:val="tx1"/>
            </w14:solidFill>
          </w14:textFill>
        </w:rPr>
        <w:t>上海</w:t>
      </w:r>
      <w:r>
        <w:rPr>
          <w:rFonts w:ascii="Times New Roman" w:hAnsi="Times New Roman" w:eastAsia="宋体" w:cs="Times New Roman"/>
          <w:color w:val="000000" w:themeColor="text1"/>
          <w:sz w:val="24"/>
          <w:szCs w:val="24"/>
          <w14:textFill>
            <w14:solidFill>
              <w14:schemeClr w14:val="tx1"/>
            </w14:solidFill>
          </w14:textFill>
        </w:rPr>
        <w:t>证券交易所股票上市规则》</w:t>
      </w:r>
      <w:r>
        <w:rPr>
          <w:rFonts w:hint="eastAsia" w:ascii="Times New Roman" w:hAnsi="Times New Roman" w:eastAsia="宋体" w:cs="Times New Roman"/>
          <w:color w:val="000000" w:themeColor="text1"/>
          <w:sz w:val="24"/>
          <w:szCs w:val="24"/>
          <w:lang w:eastAsia="zh-CN"/>
          <w14:textFill>
            <w14:solidFill>
              <w14:schemeClr w14:val="tx1"/>
            </w14:solidFill>
          </w14:textFill>
        </w:rPr>
        <w:t>《上海证券交易所上市公司自律监管指引第15号——股东及董事、高级管理人员减持股份》（</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以下简称“《15号指引》”</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等法律、法规规范性文件及本公司《章程》，结合公司的实际情况，制定本制度。</w:t>
      </w:r>
    </w:p>
    <w:p w14:paraId="051138EF">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第二条</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公司董事、高级管理人员在买卖公司股票及其衍生品种前，应知悉</w:t>
      </w:r>
    </w:p>
    <w:p w14:paraId="17A917ED">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《公司法》《证券法》等法律、法规、规范性文件关于内幕交易、操纵市场、短</w:t>
      </w:r>
    </w:p>
    <w:p w14:paraId="78BB8B40">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线交易等禁止性行为的规定，不得进行违法违规的交易。</w:t>
      </w:r>
    </w:p>
    <w:p w14:paraId="4886979C">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公司董事和高级管理人员就其所持股份变动相关事项作出承诺的，应当严格遵守。</w:t>
      </w:r>
    </w:p>
    <w:p w14:paraId="456ADA1E">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第三条</w:t>
      </w:r>
      <w:r>
        <w:rPr>
          <w:rFonts w:ascii="Times New Roman" w:hAnsi="Times New Roman" w:eastAsia="宋体" w:cs="Times New Roman"/>
          <w:color w:val="000000" w:themeColor="text1"/>
          <w:sz w:val="24"/>
          <w:szCs w:val="24"/>
          <w14:textFill>
            <w14:solidFill>
              <w14:schemeClr w14:val="tx1"/>
            </w14:solidFill>
          </w14:textFill>
        </w:rPr>
        <w:t xml:space="preserve"> 公司董事和高级管理人员所持本公司股份，是指登记在其名下和利用他人账户持有的所有本公司股份。公司董事、高级管理人员不得从事以本公司股票为标的证券的融资融券交易，不得融券卖出本公司股份，不得开展以本公司股份为合约标的物的衍生品交易。</w:t>
      </w:r>
    </w:p>
    <w:p w14:paraId="70E0976B">
      <w:pPr>
        <w:spacing w:before="156" w:beforeLines="50" w:after="156" w:afterLines="50" w:line="360" w:lineRule="auto"/>
        <w:jc w:val="center"/>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第二章 所持公司股份及其变动管理</w:t>
      </w:r>
    </w:p>
    <w:p w14:paraId="579F1F01">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第四条</w:t>
      </w:r>
      <w:r>
        <w:rPr>
          <w:rFonts w:ascii="Times New Roman" w:hAnsi="Times New Roman" w:eastAsia="宋体" w:cs="Times New Roman"/>
          <w:color w:val="000000" w:themeColor="text1"/>
          <w:sz w:val="24"/>
          <w:szCs w:val="24"/>
          <w14:textFill>
            <w14:solidFill>
              <w14:schemeClr w14:val="tx1"/>
            </w14:solidFill>
          </w14:textFill>
        </w:rPr>
        <w:t xml:space="preserve"> 存在下列情形之一的，公司董事和高级管理人员所持本公司股份不得转让：</w:t>
      </w:r>
    </w:p>
    <w:p w14:paraId="45AB1C06">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一</w:t>
      </w:r>
      <w:r>
        <w:rPr>
          <w:rFonts w:ascii="Times New Roman" w:hAnsi="Times New Roman" w:eastAsia="宋体" w:cs="Times New Roman"/>
          <w:color w:val="000000" w:themeColor="text1"/>
          <w:sz w:val="24"/>
          <w:szCs w:val="24"/>
          <w14:textFill>
            <w14:solidFill>
              <w14:schemeClr w14:val="tx1"/>
            </w14:solidFill>
          </w14:textFill>
        </w:rPr>
        <w:t>）本人离职后半年内；</w:t>
      </w:r>
    </w:p>
    <w:p w14:paraId="505EFCCD">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二</w:t>
      </w:r>
      <w:r>
        <w:rPr>
          <w:rFonts w:ascii="Times New Roman" w:hAnsi="Times New Roman" w:eastAsia="宋体" w:cs="Times New Roman"/>
          <w:color w:val="000000" w:themeColor="text1"/>
          <w:sz w:val="24"/>
          <w:szCs w:val="24"/>
          <w14:textFill>
            <w14:solidFill>
              <w14:schemeClr w14:val="tx1"/>
            </w14:solidFill>
          </w14:textFill>
        </w:rPr>
        <w:t>）公司因涉嫌证券期货违法犯罪，被中国证监会立案调查或者被司法机关立案侦查，或者被行政处罚、判处刑罚未满六个月的；</w:t>
      </w:r>
    </w:p>
    <w:p w14:paraId="67153084">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三</w:t>
      </w:r>
      <w:r>
        <w:rPr>
          <w:rFonts w:ascii="Times New Roman" w:hAnsi="Times New Roman" w:eastAsia="宋体" w:cs="Times New Roman"/>
          <w:color w:val="000000" w:themeColor="text1"/>
          <w:sz w:val="24"/>
          <w:szCs w:val="24"/>
          <w14:textFill>
            <w14:solidFill>
              <w14:schemeClr w14:val="tx1"/>
            </w14:solidFill>
          </w14:textFill>
        </w:rPr>
        <w:t>）本人因涉嫌与本公司有关的证券期货违法犯罪，被中国证监会立案调查或者被司法机关立案侦查，或者被行政处罚、判处刑罚未满六个月的；</w:t>
      </w:r>
    </w:p>
    <w:p w14:paraId="32F3354F">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四</w:t>
      </w:r>
      <w:r>
        <w:rPr>
          <w:rFonts w:ascii="Times New Roman" w:hAnsi="Times New Roman" w:eastAsia="宋体" w:cs="Times New Roman"/>
          <w:color w:val="000000" w:themeColor="text1"/>
          <w:sz w:val="24"/>
          <w:szCs w:val="24"/>
          <w14:textFill>
            <w14:solidFill>
              <w14:schemeClr w14:val="tx1"/>
            </w14:solidFill>
          </w14:textFill>
        </w:rPr>
        <w:t>）本人因涉及证券期货违法，被中国证监会行政处罚，尚未足额缴纳罚没款的，但法律、行政法规另有规定或者减持资金用于缴纳罚没款的除外；</w:t>
      </w:r>
    </w:p>
    <w:p w14:paraId="3750ED1E">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五</w:t>
      </w:r>
      <w:r>
        <w:rPr>
          <w:rFonts w:ascii="Times New Roman" w:hAnsi="Times New Roman" w:eastAsia="宋体" w:cs="Times New Roman"/>
          <w:color w:val="000000" w:themeColor="text1"/>
          <w:sz w:val="24"/>
          <w:szCs w:val="24"/>
          <w14:textFill>
            <w14:solidFill>
              <w14:schemeClr w14:val="tx1"/>
            </w14:solidFill>
          </w14:textFill>
        </w:rPr>
        <w:t>）本人因涉及与本公司有关的违法违规，被</w:t>
      </w:r>
      <w:r>
        <w:rPr>
          <w:rFonts w:hint="eastAsia" w:ascii="Times New Roman" w:hAnsi="Times New Roman" w:eastAsia="宋体" w:cs="Times New Roman"/>
          <w:color w:val="000000" w:themeColor="text1"/>
          <w:sz w:val="24"/>
          <w:szCs w:val="24"/>
          <w14:textFill>
            <w14:solidFill>
              <w14:schemeClr w14:val="tx1"/>
            </w14:solidFill>
          </w14:textFill>
        </w:rPr>
        <w:t>上海</w:t>
      </w:r>
      <w:r>
        <w:rPr>
          <w:rFonts w:ascii="Times New Roman" w:hAnsi="Times New Roman" w:eastAsia="宋体" w:cs="Times New Roman"/>
          <w:color w:val="000000" w:themeColor="text1"/>
          <w:sz w:val="24"/>
          <w:szCs w:val="24"/>
          <w14:textFill>
            <w14:solidFill>
              <w14:schemeClr w14:val="tx1"/>
            </w14:solidFill>
          </w14:textFill>
        </w:rPr>
        <w:t>证券交易所公开谴责未满三个月的；</w:t>
      </w:r>
    </w:p>
    <w:p w14:paraId="36A57470">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六</w:t>
      </w:r>
      <w:r>
        <w:rPr>
          <w:rFonts w:ascii="Times New Roman" w:hAnsi="Times New Roman" w:eastAsia="宋体" w:cs="Times New Roman"/>
          <w:color w:val="000000" w:themeColor="text1"/>
          <w:sz w:val="24"/>
          <w:szCs w:val="24"/>
          <w14:textFill>
            <w14:solidFill>
              <w14:schemeClr w14:val="tx1"/>
            </w14:solidFill>
          </w14:textFill>
        </w:rPr>
        <w:t>）公司可能触及重大违法强制退市情形，在</w:t>
      </w:r>
      <w:r>
        <w:rPr>
          <w:rFonts w:hint="eastAsia" w:ascii="Times New Roman" w:hAnsi="Times New Roman" w:eastAsia="宋体" w:cs="Times New Roman"/>
          <w:color w:val="000000" w:themeColor="text1"/>
          <w:sz w:val="24"/>
          <w:szCs w:val="24"/>
          <w14:textFill>
            <w14:solidFill>
              <w14:schemeClr w14:val="tx1"/>
            </w14:solidFill>
          </w14:textFill>
        </w:rPr>
        <w:t>上海</w:t>
      </w:r>
      <w:r>
        <w:rPr>
          <w:rFonts w:ascii="Times New Roman" w:hAnsi="Times New Roman" w:eastAsia="宋体" w:cs="Times New Roman"/>
          <w:color w:val="000000" w:themeColor="text1"/>
          <w:sz w:val="24"/>
          <w:szCs w:val="24"/>
          <w14:textFill>
            <w14:solidFill>
              <w14:schemeClr w14:val="tx1"/>
            </w14:solidFill>
          </w14:textFill>
        </w:rPr>
        <w:t>证券交易所规定的限制转让期限内的；</w:t>
      </w:r>
    </w:p>
    <w:p w14:paraId="7B1E61E9">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七</w:t>
      </w:r>
      <w:r>
        <w:rPr>
          <w:rFonts w:ascii="Times New Roman" w:hAnsi="Times New Roman" w:eastAsia="宋体" w:cs="Times New Roman"/>
          <w:color w:val="000000" w:themeColor="text1"/>
          <w:sz w:val="24"/>
          <w:szCs w:val="24"/>
          <w14:textFill>
            <w14:solidFill>
              <w14:schemeClr w14:val="tx1"/>
            </w14:solidFill>
          </w14:textFill>
        </w:rPr>
        <w:t>）法律、行政法规、中国证监会和</w:t>
      </w:r>
      <w:r>
        <w:rPr>
          <w:rFonts w:hint="eastAsia" w:ascii="Times New Roman" w:hAnsi="Times New Roman" w:eastAsia="宋体" w:cs="Times New Roman"/>
          <w:color w:val="000000" w:themeColor="text1"/>
          <w:sz w:val="24"/>
          <w:szCs w:val="24"/>
          <w14:textFill>
            <w14:solidFill>
              <w14:schemeClr w14:val="tx1"/>
            </w14:solidFill>
          </w14:textFill>
        </w:rPr>
        <w:t>上海</w:t>
      </w:r>
      <w:r>
        <w:rPr>
          <w:rFonts w:ascii="Times New Roman" w:hAnsi="Times New Roman" w:eastAsia="宋体" w:cs="Times New Roman"/>
          <w:color w:val="000000" w:themeColor="text1"/>
          <w:sz w:val="24"/>
          <w:szCs w:val="24"/>
          <w14:textFill>
            <w14:solidFill>
              <w14:schemeClr w14:val="tx1"/>
            </w14:solidFill>
          </w14:textFill>
        </w:rPr>
        <w:t>证券交易所规则以及公司《章程》规定的其他情形。</w:t>
      </w:r>
    </w:p>
    <w:p w14:paraId="72675DAD">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第五条</w:t>
      </w:r>
      <w:r>
        <w:rPr>
          <w:rFonts w:ascii="Times New Roman" w:hAnsi="Times New Roman" w:eastAsia="宋体" w:cs="Times New Roman"/>
          <w:color w:val="000000" w:themeColor="text1"/>
          <w:sz w:val="24"/>
          <w:szCs w:val="24"/>
          <w14:textFill>
            <w14:solidFill>
              <w14:schemeClr w14:val="tx1"/>
            </w14:solidFill>
          </w14:textFill>
        </w:rPr>
        <w:t xml:space="preserve"> 公司董事和高级管理人员在就任时确定的任职期间和任期届满后六个月内，每年通过集中竞价、大宗交易、协议转让等方式转让的股份，不得超过其所持本公司股份总数的百分之二十五，因司法强制执行、继承、遗赠、依法分割财产等导致股份变动的除外。</w:t>
      </w:r>
    </w:p>
    <w:p w14:paraId="0281BB86">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公司董事和高级管理人员所持股份不超过一千股的，可一次全部转让，不受前款转让比例的限制。</w:t>
      </w:r>
    </w:p>
    <w:p w14:paraId="523911A9">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公司董事、高级管理人员自实际离任之日起六个月内，不得转让其持有及新增的本公司股份。</w:t>
      </w:r>
    </w:p>
    <w:p w14:paraId="56FC4E53">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第六条</w:t>
      </w:r>
      <w:r>
        <w:rPr>
          <w:rFonts w:ascii="Times New Roman" w:hAnsi="Times New Roman" w:eastAsia="宋体" w:cs="Times New Roman"/>
          <w:color w:val="000000" w:themeColor="text1"/>
          <w:sz w:val="24"/>
          <w:szCs w:val="24"/>
          <w14:textFill>
            <w14:solidFill>
              <w14:schemeClr w14:val="tx1"/>
            </w14:solidFill>
          </w14:textFill>
        </w:rPr>
        <w:t xml:space="preserve"> 公司董事和高级管理人员以上年末其所持有的本公司股份总数为基数，计算其可转让股份的数量。</w:t>
      </w:r>
    </w:p>
    <w:p w14:paraId="2855A533">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董事和高级管理人员通过二级市场购买、可转换公司债券转股、行权、协议受让等方式，在年内新增的本公司无限售条件股份，按75%自动锁定；新增的有限售条件股份，计入次年可转让股份的计算基数。</w:t>
      </w:r>
    </w:p>
    <w:p w14:paraId="5269E7A8">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因公司年内进行权益分派导致董事和高级管理人员所持本公司股份增加的，可同比例增加当年可转让数量。</w:t>
      </w:r>
    </w:p>
    <w:p w14:paraId="2A8EA91F">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第七条</w:t>
      </w:r>
      <w:r>
        <w:rPr>
          <w:rFonts w:ascii="Times New Roman" w:hAnsi="Times New Roman" w:eastAsia="宋体" w:cs="Times New Roman"/>
          <w:color w:val="000000" w:themeColor="text1"/>
          <w:sz w:val="24"/>
          <w:szCs w:val="24"/>
          <w14:textFill>
            <w14:solidFill>
              <w14:schemeClr w14:val="tx1"/>
            </w14:solidFill>
          </w14:textFill>
        </w:rPr>
        <w:t xml:space="preserve"> 公司董事和高级管理人员当年可转让但未转让的本公司股份，计入当年末其所持有本公司股份的总数，该总数作为次年可转让股份的计算基数。</w:t>
      </w:r>
    </w:p>
    <w:p w14:paraId="142C6FEB">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第八条</w:t>
      </w:r>
      <w:r>
        <w:rPr>
          <w:rFonts w:ascii="Times New Roman" w:hAnsi="Times New Roman" w:eastAsia="宋体" w:cs="Times New Roman"/>
          <w:color w:val="000000" w:themeColor="text1"/>
          <w:sz w:val="24"/>
          <w:szCs w:val="24"/>
          <w14:textFill>
            <w14:solidFill>
              <w14:schemeClr w14:val="tx1"/>
            </w14:solidFill>
          </w14:textFill>
        </w:rPr>
        <w:t xml:space="preserve"> 公司《章程》可以对董事和高级管理人员转让其所持本公司股份</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规定比《上市公司董事和高级管理人员所持本公司股份及其变动管理规则》更长的限制转让期间、更低的可转让股份比例或者附加其他限制转让条件。</w:t>
      </w:r>
    </w:p>
    <w:p w14:paraId="35B7E573">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第九条</w:t>
      </w:r>
      <w:r>
        <w:rPr>
          <w:rFonts w:ascii="Times New Roman" w:hAnsi="Times New Roman" w:eastAsia="宋体" w:cs="Times New Roman"/>
          <w:color w:val="000000" w:themeColor="text1"/>
          <w:sz w:val="24"/>
          <w:szCs w:val="24"/>
          <w14:textFill>
            <w14:solidFill>
              <w14:schemeClr w14:val="tx1"/>
            </w14:solidFill>
          </w14:textFill>
        </w:rPr>
        <w:t xml:space="preserve"> 公司董事和高级管理人员计划通过</w:t>
      </w:r>
      <w:r>
        <w:rPr>
          <w:rFonts w:hint="eastAsia" w:ascii="Times New Roman" w:hAnsi="Times New Roman" w:eastAsia="宋体" w:cs="Times New Roman"/>
          <w:color w:val="000000" w:themeColor="text1"/>
          <w:sz w:val="24"/>
          <w:szCs w:val="24"/>
          <w14:textFill>
            <w14:solidFill>
              <w14:schemeClr w14:val="tx1"/>
            </w14:solidFill>
          </w14:textFill>
        </w:rPr>
        <w:t>上海</w:t>
      </w:r>
      <w:r>
        <w:rPr>
          <w:rFonts w:ascii="Times New Roman" w:hAnsi="Times New Roman" w:eastAsia="宋体" w:cs="Times New Roman"/>
          <w:color w:val="000000" w:themeColor="text1"/>
          <w:sz w:val="24"/>
          <w:szCs w:val="24"/>
          <w14:textFill>
            <w14:solidFill>
              <w14:schemeClr w14:val="tx1"/>
            </w14:solidFill>
          </w14:textFill>
        </w:rPr>
        <w:t>证券交易所集中竞价交易或者大宗交易方式转让股份的，应当在首次卖出前十五个交易日向</w:t>
      </w:r>
      <w:r>
        <w:rPr>
          <w:rFonts w:hint="eastAsia" w:ascii="Times New Roman" w:hAnsi="Times New Roman" w:eastAsia="宋体" w:cs="Times New Roman"/>
          <w:color w:val="000000" w:themeColor="text1"/>
          <w:sz w:val="24"/>
          <w:szCs w:val="24"/>
          <w14:textFill>
            <w14:solidFill>
              <w14:schemeClr w14:val="tx1"/>
            </w14:solidFill>
          </w14:textFill>
        </w:rPr>
        <w:t>上海</w:t>
      </w:r>
      <w:r>
        <w:rPr>
          <w:rFonts w:ascii="Times New Roman" w:hAnsi="Times New Roman" w:eastAsia="宋体" w:cs="Times New Roman"/>
          <w:color w:val="000000" w:themeColor="text1"/>
          <w:sz w:val="24"/>
          <w:szCs w:val="24"/>
          <w14:textFill>
            <w14:solidFill>
              <w14:schemeClr w14:val="tx1"/>
            </w14:solidFill>
          </w14:textFill>
        </w:rPr>
        <w:t>证券交易所报告并披露减持计划。</w:t>
      </w:r>
    </w:p>
    <w:p w14:paraId="6AEA336F">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减持计划应当包括下列内容：</w:t>
      </w:r>
    </w:p>
    <w:p w14:paraId="35C40E2E">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（一）拟减持股份的数量、来源；</w:t>
      </w:r>
    </w:p>
    <w:p w14:paraId="3D60C112">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（二）减持时间区间、价格区间、方式和原因。减持时间区间应当符合</w:t>
      </w:r>
      <w:r>
        <w:rPr>
          <w:rFonts w:hint="eastAsia" w:ascii="Times New Roman" w:hAnsi="Times New Roman" w:eastAsia="宋体" w:cs="Times New Roman"/>
          <w:color w:val="000000" w:themeColor="text1"/>
          <w:sz w:val="24"/>
          <w:szCs w:val="24"/>
          <w14:textFill>
            <w14:solidFill>
              <w14:schemeClr w14:val="tx1"/>
            </w14:solidFill>
          </w14:textFill>
        </w:rPr>
        <w:t>上海证券交易所</w:t>
      </w:r>
      <w:r>
        <w:rPr>
          <w:rFonts w:ascii="Times New Roman" w:hAnsi="Times New Roman" w:eastAsia="宋体" w:cs="Times New Roman"/>
          <w:color w:val="000000" w:themeColor="text1"/>
          <w:sz w:val="24"/>
          <w:szCs w:val="24"/>
          <w14:textFill>
            <w14:solidFill>
              <w14:schemeClr w14:val="tx1"/>
            </w14:solidFill>
          </w14:textFill>
        </w:rPr>
        <w:t>的规定；</w:t>
      </w:r>
    </w:p>
    <w:p w14:paraId="43DB9885">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（三）不存在本制度第十五条规定情形的说明；</w:t>
      </w:r>
    </w:p>
    <w:p w14:paraId="5A76FD02">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（四）</w:t>
      </w:r>
      <w:r>
        <w:rPr>
          <w:rFonts w:hint="eastAsia" w:ascii="Times New Roman" w:hAnsi="Times New Roman" w:eastAsia="宋体" w:cs="Times New Roman"/>
          <w:color w:val="000000" w:themeColor="text1"/>
          <w:sz w:val="24"/>
          <w:szCs w:val="24"/>
          <w14:textFill>
            <w14:solidFill>
              <w14:schemeClr w14:val="tx1"/>
            </w14:solidFill>
          </w14:textFill>
        </w:rPr>
        <w:t>上海</w:t>
      </w:r>
      <w:r>
        <w:rPr>
          <w:rFonts w:ascii="Times New Roman" w:hAnsi="Times New Roman" w:eastAsia="宋体" w:cs="Times New Roman"/>
          <w:color w:val="000000" w:themeColor="text1"/>
          <w:sz w:val="24"/>
          <w:szCs w:val="24"/>
          <w14:textFill>
            <w14:solidFill>
              <w14:schemeClr w14:val="tx1"/>
            </w14:solidFill>
          </w14:textFill>
        </w:rPr>
        <w:t>证券交易所规定的其他内容。</w:t>
      </w:r>
    </w:p>
    <w:p w14:paraId="21D515A3">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减持计划实施完毕后，董事和高级管理人员应当在两个交易日内向</w:t>
      </w:r>
      <w:r>
        <w:rPr>
          <w:rFonts w:hint="eastAsia" w:ascii="Times New Roman" w:hAnsi="Times New Roman" w:eastAsia="宋体" w:cs="Times New Roman"/>
          <w:color w:val="000000" w:themeColor="text1"/>
          <w:sz w:val="24"/>
          <w:szCs w:val="24"/>
          <w14:textFill>
            <w14:solidFill>
              <w14:schemeClr w14:val="tx1"/>
            </w14:solidFill>
          </w14:textFill>
        </w:rPr>
        <w:t>上海证券交易所</w:t>
      </w:r>
      <w:r>
        <w:rPr>
          <w:rFonts w:ascii="Times New Roman" w:hAnsi="Times New Roman" w:eastAsia="宋体" w:cs="Times New Roman"/>
          <w:color w:val="000000" w:themeColor="text1"/>
          <w:sz w:val="24"/>
          <w:szCs w:val="24"/>
          <w14:textFill>
            <w14:solidFill>
              <w14:schemeClr w14:val="tx1"/>
            </w14:solidFill>
          </w14:textFill>
        </w:rPr>
        <w:t>报告，并予公告；在预先披露的减持时间区间内，未实施减持或者减持计划未实施完毕的，应当在减持时间区间届满后的两个交易日内向</w:t>
      </w:r>
      <w:r>
        <w:rPr>
          <w:rFonts w:hint="eastAsia" w:ascii="Times New Roman" w:hAnsi="Times New Roman" w:eastAsia="宋体" w:cs="Times New Roman"/>
          <w:color w:val="000000" w:themeColor="text1"/>
          <w:sz w:val="24"/>
          <w:szCs w:val="24"/>
          <w14:textFill>
            <w14:solidFill>
              <w14:schemeClr w14:val="tx1"/>
            </w14:solidFill>
          </w14:textFill>
        </w:rPr>
        <w:t>上海证券交易所</w:t>
      </w:r>
      <w:r>
        <w:rPr>
          <w:rFonts w:ascii="Times New Roman" w:hAnsi="Times New Roman" w:eastAsia="宋体" w:cs="Times New Roman"/>
          <w:color w:val="000000" w:themeColor="text1"/>
          <w:sz w:val="24"/>
          <w:szCs w:val="24"/>
          <w14:textFill>
            <w14:solidFill>
              <w14:schemeClr w14:val="tx1"/>
            </w14:solidFill>
          </w14:textFill>
        </w:rPr>
        <w:t>报告，并予公告。</w:t>
      </w:r>
    </w:p>
    <w:p w14:paraId="7F6A8D33">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公司董事和高级管理人员所持本公司股份被人民法院通过</w:t>
      </w:r>
      <w:r>
        <w:rPr>
          <w:rFonts w:hint="eastAsia" w:ascii="Times New Roman" w:hAnsi="Times New Roman" w:eastAsia="宋体" w:cs="Times New Roman"/>
          <w:color w:val="000000" w:themeColor="text1"/>
          <w:sz w:val="24"/>
          <w:szCs w:val="24"/>
          <w14:textFill>
            <w14:solidFill>
              <w14:schemeClr w14:val="tx1"/>
            </w14:solidFill>
          </w14:textFill>
        </w:rPr>
        <w:t>上海证券交易所</w:t>
      </w:r>
      <w:r>
        <w:rPr>
          <w:rFonts w:ascii="Times New Roman" w:hAnsi="Times New Roman" w:eastAsia="宋体" w:cs="Times New Roman"/>
          <w:color w:val="000000" w:themeColor="text1"/>
          <w:sz w:val="24"/>
          <w:szCs w:val="24"/>
          <w14:textFill>
            <w14:solidFill>
              <w14:schemeClr w14:val="tx1"/>
            </w14:solidFill>
          </w14:textFill>
        </w:rPr>
        <w:t>集中竞价交易或者大宗交易方式强制执行的，董事和高级管理人员应当在收到相关执行通知后两个交易日内披露。披露内容应当包括拟处置股份数量、来源、方式、时间区间等。</w:t>
      </w:r>
    </w:p>
    <w:p w14:paraId="4DBD1A36">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第十条</w:t>
      </w:r>
      <w:r>
        <w:rPr>
          <w:rFonts w:ascii="Times New Roman" w:hAnsi="Times New Roman" w:eastAsia="宋体" w:cs="Times New Roman"/>
          <w:color w:val="000000" w:themeColor="text1"/>
          <w:sz w:val="24"/>
          <w:szCs w:val="24"/>
          <w14:textFill>
            <w14:solidFill>
              <w14:schemeClr w14:val="tx1"/>
            </w14:solidFill>
          </w14:textFill>
        </w:rPr>
        <w:t xml:space="preserve"> 董事、高级管理人员因离婚拟分配股份的，应当及时披露相关情况。</w:t>
      </w:r>
    </w:p>
    <w:p w14:paraId="0A788CC5">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公司董事和高级管理人员因离婚导致其所持本公司股份减少的，股份的过出方和过入方应当持续共同遵守本制度的有关规定。</w:t>
      </w:r>
    </w:p>
    <w:p w14:paraId="53CAD7E3">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第十一条</w:t>
      </w:r>
      <w:r>
        <w:rPr>
          <w:rFonts w:ascii="Times New Roman" w:hAnsi="Times New Roman" w:eastAsia="宋体" w:cs="Times New Roman"/>
          <w:color w:val="000000" w:themeColor="text1"/>
          <w:sz w:val="24"/>
          <w:szCs w:val="24"/>
          <w14:textFill>
            <w14:solidFill>
              <w14:schemeClr w14:val="tx1"/>
            </w14:solidFill>
          </w14:textFill>
        </w:rPr>
        <w:t xml:space="preserve"> 公司董事、高级管理人员应当在下列时间委托公司向</w:t>
      </w:r>
      <w:r>
        <w:rPr>
          <w:rFonts w:hint="eastAsia" w:ascii="Times New Roman" w:hAnsi="Times New Roman" w:eastAsia="宋体" w:cs="Times New Roman"/>
          <w:color w:val="000000" w:themeColor="text1"/>
          <w:sz w:val="24"/>
          <w:szCs w:val="24"/>
          <w14:textFill>
            <w14:solidFill>
              <w14:schemeClr w14:val="tx1"/>
            </w14:solidFill>
          </w14:textFill>
        </w:rPr>
        <w:t>上海证券交易所</w:t>
      </w:r>
      <w:r>
        <w:rPr>
          <w:rFonts w:ascii="Times New Roman" w:hAnsi="Times New Roman" w:eastAsia="宋体" w:cs="Times New Roman"/>
          <w:color w:val="000000" w:themeColor="text1"/>
          <w:sz w:val="24"/>
          <w:szCs w:val="24"/>
          <w14:textFill>
            <w14:solidFill>
              <w14:schemeClr w14:val="tx1"/>
            </w14:solidFill>
          </w14:textFill>
        </w:rPr>
        <w:t>申报其个人及其近亲属（包括配偶、父母、子女、兄弟姐妹等）的身份信息（包括姓名、担任职务、身份证件号码、证券账户、离任职时间等）：</w:t>
      </w:r>
    </w:p>
    <w:p w14:paraId="27C8F4BC">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（一） 董事、高级管理人员在公司新上市申请股票初始登记时；</w:t>
      </w:r>
    </w:p>
    <w:p w14:paraId="63619EE5">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（二）新任董事在股东会（或者职工代表大会）通过其任职事项后两个交易日内；</w:t>
      </w:r>
    </w:p>
    <w:p w14:paraId="3319A5C9">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（三）新任高级管理人员在董事会通过其任职事项后两个交易日内；</w:t>
      </w:r>
    </w:p>
    <w:p w14:paraId="79F9EDC0">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（四）现任董事、高级管理人员在其已申报的个人信息发生变化后的两个交易日内；</w:t>
      </w:r>
    </w:p>
    <w:p w14:paraId="0422E7DF">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（五）现任董事、高级管理人员在离任后两个交易日内；</w:t>
      </w:r>
    </w:p>
    <w:p w14:paraId="4A261912">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（六）</w:t>
      </w:r>
      <w:r>
        <w:rPr>
          <w:rFonts w:hint="eastAsia" w:ascii="Times New Roman" w:hAnsi="Times New Roman" w:eastAsia="宋体" w:cs="Times New Roman"/>
          <w:color w:val="000000" w:themeColor="text1"/>
          <w:sz w:val="24"/>
          <w:szCs w:val="24"/>
          <w14:textFill>
            <w14:solidFill>
              <w14:schemeClr w14:val="tx1"/>
            </w14:solidFill>
          </w14:textFill>
        </w:rPr>
        <w:t>上海证券交易所</w:t>
      </w:r>
      <w:r>
        <w:rPr>
          <w:rFonts w:ascii="Times New Roman" w:hAnsi="Times New Roman" w:eastAsia="宋体" w:cs="Times New Roman"/>
          <w:color w:val="000000" w:themeColor="text1"/>
          <w:sz w:val="24"/>
          <w:szCs w:val="24"/>
          <w14:textFill>
            <w14:solidFill>
              <w14:schemeClr w14:val="tx1"/>
            </w14:solidFill>
          </w14:textFill>
        </w:rPr>
        <w:t>要求的其他时间。</w:t>
      </w:r>
    </w:p>
    <w:p w14:paraId="168DAA4C">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前款规定的申报信息视为相关人员向</w:t>
      </w:r>
      <w:r>
        <w:rPr>
          <w:rFonts w:hint="eastAsia" w:ascii="Times New Roman" w:hAnsi="Times New Roman" w:eastAsia="宋体" w:cs="Times New Roman"/>
          <w:color w:val="000000" w:themeColor="text1"/>
          <w:sz w:val="24"/>
          <w:szCs w:val="24"/>
          <w14:textFill>
            <w14:solidFill>
              <w14:schemeClr w14:val="tx1"/>
            </w14:solidFill>
          </w14:textFill>
        </w:rPr>
        <w:t>上海证券交易所</w:t>
      </w:r>
      <w:r>
        <w:rPr>
          <w:rFonts w:ascii="Times New Roman" w:hAnsi="Times New Roman" w:eastAsia="宋体" w:cs="Times New Roman"/>
          <w:color w:val="000000" w:themeColor="text1"/>
          <w:sz w:val="24"/>
          <w:szCs w:val="24"/>
          <w14:textFill>
            <w14:solidFill>
              <w14:schemeClr w14:val="tx1"/>
            </w14:solidFill>
          </w14:textFill>
        </w:rPr>
        <w:t>提交的将其所持本公司股份按相关规定予以管理的申请。</w:t>
      </w:r>
    </w:p>
    <w:p w14:paraId="1A551CE6">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第十二条</w:t>
      </w:r>
      <w:r>
        <w:rPr>
          <w:rFonts w:ascii="Times New Roman" w:hAnsi="Times New Roman" w:eastAsia="宋体" w:cs="Times New Roman"/>
          <w:color w:val="000000" w:themeColor="text1"/>
          <w:sz w:val="24"/>
          <w:szCs w:val="24"/>
          <w14:textFill>
            <w14:solidFill>
              <w14:schemeClr w14:val="tx1"/>
            </w14:solidFill>
          </w14:textFill>
        </w:rPr>
        <w:t xml:space="preserve"> 公司董事和高级管理人员所持本公司股份发生变动的，应当自该事实发生之日起两个交易日内，通过公司在</w:t>
      </w:r>
      <w:r>
        <w:rPr>
          <w:rFonts w:hint="eastAsia" w:ascii="Times New Roman" w:hAnsi="Times New Roman" w:eastAsia="宋体" w:cs="Times New Roman"/>
          <w:color w:val="000000" w:themeColor="text1"/>
          <w:sz w:val="24"/>
          <w:szCs w:val="24"/>
          <w14:textFill>
            <w14:solidFill>
              <w14:schemeClr w14:val="tx1"/>
            </w14:solidFill>
          </w14:textFill>
        </w:rPr>
        <w:t>上海证券交易所</w:t>
      </w:r>
      <w:r>
        <w:rPr>
          <w:rFonts w:ascii="Times New Roman" w:hAnsi="Times New Roman" w:eastAsia="宋体" w:cs="Times New Roman"/>
          <w:color w:val="000000" w:themeColor="text1"/>
          <w:sz w:val="24"/>
          <w:szCs w:val="24"/>
          <w14:textFill>
            <w14:solidFill>
              <w14:schemeClr w14:val="tx1"/>
            </w14:solidFill>
          </w14:textFill>
        </w:rPr>
        <w:t>网站进行公告。公告内容应当包括：</w:t>
      </w:r>
    </w:p>
    <w:p w14:paraId="4E425EAC">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（一）本次变动前持股数量；</w:t>
      </w:r>
    </w:p>
    <w:p w14:paraId="6336D263">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（二）本次股份变动的日期、数量、价格；</w:t>
      </w:r>
    </w:p>
    <w:p w14:paraId="4931FB01">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（三）本次变动后的持股数量；</w:t>
      </w:r>
    </w:p>
    <w:p w14:paraId="26EAD75F">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（四）</w:t>
      </w:r>
      <w:r>
        <w:rPr>
          <w:rFonts w:hint="eastAsia" w:ascii="Times New Roman" w:hAnsi="Times New Roman" w:eastAsia="宋体" w:cs="Times New Roman"/>
          <w:color w:val="000000" w:themeColor="text1"/>
          <w:sz w:val="24"/>
          <w:szCs w:val="24"/>
          <w14:textFill>
            <w14:solidFill>
              <w14:schemeClr w14:val="tx1"/>
            </w14:solidFill>
          </w14:textFill>
        </w:rPr>
        <w:t>上海证券交易所</w:t>
      </w:r>
      <w:r>
        <w:rPr>
          <w:rFonts w:ascii="Times New Roman" w:hAnsi="Times New Roman" w:eastAsia="宋体" w:cs="Times New Roman"/>
          <w:color w:val="000000" w:themeColor="text1"/>
          <w:sz w:val="24"/>
          <w:szCs w:val="24"/>
          <w14:textFill>
            <w14:solidFill>
              <w14:schemeClr w14:val="tx1"/>
            </w14:solidFill>
          </w14:textFill>
        </w:rPr>
        <w:t>要求披露的其他事项。</w:t>
      </w:r>
    </w:p>
    <w:p w14:paraId="3189FEA2">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第十三条</w:t>
      </w:r>
      <w:r>
        <w:rPr>
          <w:rFonts w:ascii="Times New Roman" w:hAnsi="Times New Roman" w:eastAsia="宋体" w:cs="Times New Roman"/>
          <w:color w:val="000000" w:themeColor="text1"/>
          <w:sz w:val="24"/>
          <w:szCs w:val="24"/>
          <w14:textFill>
            <w14:solidFill>
              <w14:schemeClr w14:val="tx1"/>
            </w14:solidFill>
          </w14:textFill>
        </w:rPr>
        <w:t xml:space="preserve"> 公司董事、高级管理人员在下列期间不得买卖本公司股份：</w:t>
      </w:r>
    </w:p>
    <w:p w14:paraId="15FA6A5D">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（一）公司年度报告、半年度报告公告前十五日内，因特殊原因推迟公告日期的，自原预约公告日前十五日起算；</w:t>
      </w:r>
    </w:p>
    <w:p w14:paraId="42CF3FA3">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（二）公司季度报告、业绩预告、业绩快报公告前五日内；</w:t>
      </w:r>
    </w:p>
    <w:p w14:paraId="23C91F7E">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（三）自可能对本公司股票及其衍生品种交易价格产生较大影响的重大事件发生之日或者进入决策程序之日至依法披露之日；</w:t>
      </w:r>
    </w:p>
    <w:p w14:paraId="69D528C5">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（四）中国证监会及</w:t>
      </w:r>
      <w:r>
        <w:rPr>
          <w:rFonts w:hint="eastAsia" w:ascii="Times New Roman" w:hAnsi="Times New Roman" w:eastAsia="宋体" w:cs="Times New Roman"/>
          <w:color w:val="000000" w:themeColor="text1"/>
          <w:sz w:val="24"/>
          <w:szCs w:val="24"/>
          <w14:textFill>
            <w14:solidFill>
              <w14:schemeClr w14:val="tx1"/>
            </w14:solidFill>
          </w14:textFill>
        </w:rPr>
        <w:t>上海证券交易所</w:t>
      </w:r>
      <w:r>
        <w:rPr>
          <w:rFonts w:ascii="Times New Roman" w:hAnsi="Times New Roman" w:eastAsia="宋体" w:cs="Times New Roman"/>
          <w:color w:val="000000" w:themeColor="text1"/>
          <w:sz w:val="24"/>
          <w:szCs w:val="24"/>
          <w14:textFill>
            <w14:solidFill>
              <w14:schemeClr w14:val="tx1"/>
            </w14:solidFill>
          </w14:textFill>
        </w:rPr>
        <w:t>规定的其他期间。</w:t>
      </w:r>
    </w:p>
    <w:p w14:paraId="6594EB27">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第十四条</w:t>
      </w:r>
      <w:r>
        <w:rPr>
          <w:rFonts w:ascii="Times New Roman" w:hAnsi="Times New Roman" w:eastAsia="宋体" w:cs="Times New Roman"/>
          <w:color w:val="000000" w:themeColor="text1"/>
          <w:sz w:val="24"/>
          <w:szCs w:val="24"/>
          <w14:textFill>
            <w14:solidFill>
              <w14:schemeClr w14:val="tx1"/>
            </w14:solidFill>
          </w14:textFill>
        </w:rPr>
        <w:t xml:space="preserve"> 公司董事、高级管理人员在买卖本公司股份前，应当将其买卖计划以书面方式通知董事会秘书和董事会办公室，董事会秘书应当核查公司信息披露及重大事项等进展情况，该买卖行为可能违反法律法规、</w:t>
      </w:r>
      <w:r>
        <w:rPr>
          <w:rFonts w:hint="eastAsia" w:ascii="Times New Roman" w:hAnsi="Times New Roman" w:eastAsia="宋体" w:cs="Times New Roman"/>
          <w:color w:val="000000" w:themeColor="text1"/>
          <w:sz w:val="24"/>
          <w:szCs w:val="24"/>
          <w14:textFill>
            <w14:solidFill>
              <w14:schemeClr w14:val="tx1"/>
            </w14:solidFill>
          </w14:textFill>
        </w:rPr>
        <w:t>上海证券交易所</w:t>
      </w:r>
      <w:r>
        <w:rPr>
          <w:rFonts w:ascii="Times New Roman" w:hAnsi="Times New Roman" w:eastAsia="宋体" w:cs="Times New Roman"/>
          <w:color w:val="000000" w:themeColor="text1"/>
          <w:sz w:val="24"/>
          <w:szCs w:val="24"/>
          <w14:textFill>
            <w14:solidFill>
              <w14:schemeClr w14:val="tx1"/>
            </w14:solidFill>
          </w14:textFill>
        </w:rPr>
        <w:t>相关规定和公司《章程》的，董事会秘书应当及时书面通知相关董事、高级管理人员。</w:t>
      </w:r>
    </w:p>
    <w:p w14:paraId="1D0E2970">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上述人员在买卖本公司股份的事实发生之日以及相关买卖计划实施完毕之日或实施期限届满之日，应当以书面方式及时通知董事会秘书买卖股份的进展情况。</w:t>
      </w:r>
    </w:p>
    <w:p w14:paraId="32BF07A4">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公司董事会秘书负责管理公司董事、高级管理人员以及本制度第二十四条规定的自然人、法人或者其他组织身份及所持本公司股份的数据和信息，统一为相关人员办理个人信息的网上申报，每季度检查其买卖本公司股票的披露情况。发现违法违规的，应当及时向中国证监会、</w:t>
      </w:r>
      <w:r>
        <w:rPr>
          <w:rFonts w:hint="eastAsia" w:ascii="Times New Roman" w:hAnsi="Times New Roman" w:eastAsia="宋体" w:cs="Times New Roman"/>
          <w:color w:val="000000" w:themeColor="text1"/>
          <w:sz w:val="24"/>
          <w:szCs w:val="24"/>
          <w14:textFill>
            <w14:solidFill>
              <w14:schemeClr w14:val="tx1"/>
            </w14:solidFill>
          </w14:textFill>
        </w:rPr>
        <w:t>上海证券交易所</w:t>
      </w:r>
      <w:r>
        <w:rPr>
          <w:rFonts w:ascii="Times New Roman" w:hAnsi="Times New Roman" w:eastAsia="宋体" w:cs="Times New Roman"/>
          <w:color w:val="000000" w:themeColor="text1"/>
          <w:sz w:val="24"/>
          <w:szCs w:val="24"/>
          <w14:textFill>
            <w14:solidFill>
              <w14:schemeClr w14:val="tx1"/>
            </w14:solidFill>
          </w14:textFill>
        </w:rPr>
        <w:t>报告。</w:t>
      </w:r>
    </w:p>
    <w:p w14:paraId="7C4D6580">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第十五条</w:t>
      </w:r>
      <w:r>
        <w:rPr>
          <w:rFonts w:ascii="Times New Roman" w:hAnsi="Times New Roman" w:eastAsia="宋体" w:cs="Times New Roman"/>
          <w:color w:val="000000" w:themeColor="text1"/>
          <w:sz w:val="24"/>
          <w:szCs w:val="24"/>
          <w14:textFill>
            <w14:solidFill>
              <w14:schemeClr w14:val="tx1"/>
            </w14:solidFill>
          </w14:textFill>
        </w:rPr>
        <w:t xml:space="preserve"> 公司及其董事、高级管理人员应当及时向</w:t>
      </w:r>
      <w:r>
        <w:rPr>
          <w:rFonts w:hint="eastAsia" w:ascii="Times New Roman" w:hAnsi="Times New Roman" w:eastAsia="宋体" w:cs="Times New Roman"/>
          <w:color w:val="000000" w:themeColor="text1"/>
          <w:sz w:val="24"/>
          <w:szCs w:val="24"/>
          <w14:textFill>
            <w14:solidFill>
              <w14:schemeClr w14:val="tx1"/>
            </w14:solidFill>
          </w14:textFill>
        </w:rPr>
        <w:t>上海证券交易所</w:t>
      </w:r>
      <w:r>
        <w:rPr>
          <w:rFonts w:ascii="Times New Roman" w:hAnsi="Times New Roman" w:eastAsia="宋体" w:cs="Times New Roman"/>
          <w:color w:val="000000" w:themeColor="text1"/>
          <w:sz w:val="24"/>
          <w:szCs w:val="24"/>
          <w14:textFill>
            <w14:solidFill>
              <w14:schemeClr w14:val="tx1"/>
            </w14:solidFill>
          </w14:textFill>
        </w:rPr>
        <w:t>申报信息，保证申报信息的真实、准确、完整，同意</w:t>
      </w:r>
      <w:r>
        <w:rPr>
          <w:rFonts w:hint="eastAsia" w:ascii="Times New Roman" w:hAnsi="Times New Roman" w:eastAsia="宋体" w:cs="Times New Roman"/>
          <w:color w:val="000000" w:themeColor="text1"/>
          <w:sz w:val="24"/>
          <w:szCs w:val="24"/>
          <w14:textFill>
            <w14:solidFill>
              <w14:schemeClr w14:val="tx1"/>
            </w14:solidFill>
          </w14:textFill>
        </w:rPr>
        <w:t>上海证券交易所</w:t>
      </w:r>
      <w:r>
        <w:rPr>
          <w:rFonts w:ascii="Times New Roman" w:hAnsi="Times New Roman" w:eastAsia="宋体" w:cs="Times New Roman"/>
          <w:color w:val="000000" w:themeColor="text1"/>
          <w:sz w:val="24"/>
          <w:szCs w:val="24"/>
          <w14:textFill>
            <w14:solidFill>
              <w14:schemeClr w14:val="tx1"/>
            </w14:solidFill>
          </w14:textFill>
        </w:rPr>
        <w:t>及时公布相关人员持有本公司股份的变动情况，并承担由此产生的法律责任。</w:t>
      </w:r>
    </w:p>
    <w:p w14:paraId="698AB48A">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第十六条</w:t>
      </w:r>
      <w:r>
        <w:rPr>
          <w:rFonts w:ascii="Times New Roman" w:hAnsi="Times New Roman" w:eastAsia="宋体" w:cs="Times New Roman"/>
          <w:color w:val="000000" w:themeColor="text1"/>
          <w:sz w:val="24"/>
          <w:szCs w:val="24"/>
          <w14:textFill>
            <w14:solidFill>
              <w14:schemeClr w14:val="tx1"/>
            </w14:solidFill>
          </w14:textFill>
        </w:rPr>
        <w:t xml:space="preserve">  因公司发行股份、实施股权激励计划等情形，对董事、高级管理人员转让其所持本公司股份做出附加转让价格、业绩考核条件或者设定限售期等限制性条件的，公司应当在办理股份变更登记等手续时，向</w:t>
      </w:r>
      <w:r>
        <w:rPr>
          <w:rFonts w:hint="eastAsia" w:ascii="Times New Roman" w:hAnsi="Times New Roman" w:eastAsia="宋体" w:cs="Times New Roman"/>
          <w:color w:val="000000" w:themeColor="text1"/>
          <w:sz w:val="24"/>
          <w:szCs w:val="24"/>
          <w14:textFill>
            <w14:solidFill>
              <w14:schemeClr w14:val="tx1"/>
            </w14:solidFill>
          </w14:textFill>
        </w:rPr>
        <w:t>上海证券交易所</w:t>
      </w:r>
      <w:r>
        <w:rPr>
          <w:rFonts w:ascii="Times New Roman" w:hAnsi="Times New Roman" w:eastAsia="宋体" w:cs="Times New Roman"/>
          <w:color w:val="000000" w:themeColor="text1"/>
          <w:sz w:val="24"/>
          <w:szCs w:val="24"/>
          <w14:textFill>
            <w14:solidFill>
              <w14:schemeClr w14:val="tx1"/>
            </w14:solidFill>
          </w14:textFill>
        </w:rPr>
        <w:t>和中国结算深圳分公司申请将相关人员所持股份登记为有限售条件的股份。</w:t>
      </w:r>
    </w:p>
    <w:p w14:paraId="44514E59">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bookmarkStart w:id="0" w:name="_Hlk200960239"/>
      <w:r>
        <w:rPr>
          <w:rFonts w:ascii="Times New Roman" w:hAnsi="Times New Roman" w:eastAsia="宋体" w:cs="Times New Roman"/>
          <w:b/>
          <w:color w:val="000000" w:themeColor="text1"/>
          <w:sz w:val="24"/>
          <w:szCs w:val="24"/>
          <w14:textFill>
            <w14:solidFill>
              <w14:schemeClr w14:val="tx1"/>
            </w14:solidFill>
          </w14:textFill>
        </w:rPr>
        <w:t>第十七条</w:t>
      </w:r>
      <w:r>
        <w:rPr>
          <w:rFonts w:ascii="Times New Roman" w:hAnsi="Times New Roman" w:eastAsia="宋体" w:cs="Times New Roman"/>
          <w:color w:val="000000" w:themeColor="text1"/>
          <w:sz w:val="24"/>
          <w:szCs w:val="24"/>
          <w14:textFill>
            <w14:solidFill>
              <w14:schemeClr w14:val="tx1"/>
            </w14:solidFill>
          </w14:textFill>
        </w:rPr>
        <w:t xml:space="preserve"> 公司董事、高级管理人员所持股份登记为有限售条件股份的，解除限售的条件满足后，董事、高级管理人员可以委托公司向</w:t>
      </w:r>
      <w:r>
        <w:rPr>
          <w:rFonts w:hint="eastAsia" w:ascii="Times New Roman" w:hAnsi="Times New Roman" w:eastAsia="宋体" w:cs="Times New Roman"/>
          <w:color w:val="000000" w:themeColor="text1"/>
          <w:sz w:val="24"/>
          <w:szCs w:val="24"/>
          <w14:textFill>
            <w14:solidFill>
              <w14:schemeClr w14:val="tx1"/>
            </w14:solidFill>
          </w14:textFill>
        </w:rPr>
        <w:t>上海证券交易所</w:t>
      </w:r>
      <w:r>
        <w:rPr>
          <w:rFonts w:ascii="Times New Roman" w:hAnsi="Times New Roman" w:eastAsia="宋体" w:cs="Times New Roman"/>
          <w:color w:val="000000" w:themeColor="text1"/>
          <w:sz w:val="24"/>
          <w:szCs w:val="24"/>
          <w14:textFill>
            <w14:solidFill>
              <w14:schemeClr w14:val="tx1"/>
            </w14:solidFill>
          </w14:textFill>
        </w:rPr>
        <w:t>和中国结算深圳分公司申请解除限售。</w:t>
      </w:r>
      <w:bookmarkEnd w:id="0"/>
    </w:p>
    <w:p w14:paraId="76038229">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bookmarkStart w:id="1" w:name="_Hlk200960247"/>
      <w:r>
        <w:rPr>
          <w:rFonts w:ascii="Times New Roman" w:hAnsi="Times New Roman" w:eastAsia="宋体" w:cs="Times New Roman"/>
          <w:b/>
          <w:color w:val="000000" w:themeColor="text1"/>
          <w:sz w:val="24"/>
          <w:szCs w:val="24"/>
          <w14:textFill>
            <w14:solidFill>
              <w14:schemeClr w14:val="tx1"/>
            </w14:solidFill>
          </w14:textFill>
        </w:rPr>
        <w:t>第十八条</w:t>
      </w:r>
      <w:r>
        <w:rPr>
          <w:rFonts w:ascii="Times New Roman" w:hAnsi="Times New Roman" w:eastAsia="宋体" w:cs="Times New Roman"/>
          <w:color w:val="000000" w:themeColor="text1"/>
          <w:sz w:val="24"/>
          <w:szCs w:val="24"/>
          <w14:textFill>
            <w14:solidFill>
              <w14:schemeClr w14:val="tx1"/>
            </w14:solidFill>
          </w14:textFill>
        </w:rPr>
        <w:t xml:space="preserve"> 在锁定期间，董事、高级管理人员所持本公司股份依法享有的收益权、表决权、优先配售权等相关权益不受影响。</w:t>
      </w:r>
    </w:p>
    <w:bookmarkEnd w:id="1"/>
    <w:p w14:paraId="3DA352F6">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第十九条</w:t>
      </w:r>
      <w:r>
        <w:rPr>
          <w:rFonts w:ascii="Times New Roman" w:hAnsi="Times New Roman" w:eastAsia="宋体" w:cs="Times New Roman"/>
          <w:color w:val="000000" w:themeColor="text1"/>
          <w:sz w:val="24"/>
          <w:szCs w:val="24"/>
          <w14:textFill>
            <w14:solidFill>
              <w14:schemeClr w14:val="tx1"/>
            </w14:solidFill>
          </w14:textFill>
        </w:rPr>
        <w:t xml:space="preserve"> 公司董事、高级管理人员拟增持本公司股份的，应将增持计划以书面形式告知董事会秘书。</w:t>
      </w:r>
    </w:p>
    <w:p w14:paraId="3DB289F9">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董事、高级管理人员在未披露股份增持计划的情况下，首次披露其股份增持情况并且拟继续增持的，应披露其后续股份增持计划。</w:t>
      </w:r>
    </w:p>
    <w:p w14:paraId="0563F0CC">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公告应当包括下列内容：</w:t>
      </w:r>
    </w:p>
    <w:p w14:paraId="661985B1">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（一）增持主体的姓名或者名称，已持有本公司股份的数量、占公司总股本的比例；</w:t>
      </w:r>
    </w:p>
    <w:p w14:paraId="7C2AD15B">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（二）增持主体在本次公告前的十二个月内已披露增持计划的实施完成的情况（如有）；</w:t>
      </w:r>
    </w:p>
    <w:p w14:paraId="11AE8C25">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（三）相关增持主体在本次公告前六个月的减持情况（如有）；</w:t>
      </w:r>
    </w:p>
    <w:p w14:paraId="7043131F">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（四）拟增持股份的目的；</w:t>
      </w:r>
    </w:p>
    <w:p w14:paraId="5841887E">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（五）拟增持股份的数量或者金额，明确下限或者区间范围，且下限不得为零，区间范围应当具备合理性，上限不得超出下限的一倍；</w:t>
      </w:r>
    </w:p>
    <w:p w14:paraId="651E29E8">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（六）拟增持股份的价格前提（如有）；</w:t>
      </w:r>
    </w:p>
    <w:p w14:paraId="513A84D8">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（七）增持计划的实施期限，应当结合敏感期等因素考虑可执行性，且自公告披露之日起不得超过六个月；</w:t>
      </w:r>
    </w:p>
    <w:p w14:paraId="4D072AF5">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（八）拟增持股份的方式；</w:t>
      </w:r>
    </w:p>
    <w:p w14:paraId="2707E6B3">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（九）相关增持主体在增持期间及法定期限内不减持公司股份的承诺；</w:t>
      </w:r>
    </w:p>
    <w:p w14:paraId="752A37DE">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（十）增持股份是否存在锁定安排；</w:t>
      </w:r>
    </w:p>
    <w:p w14:paraId="6FAE2D7E">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（十一）增持计划可能面临的不确定性风险及拟采取的应对措施；</w:t>
      </w:r>
    </w:p>
    <w:p w14:paraId="08141FB5">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（十二）相关增持主体限定最低增持价格或者股份数量的，应当明确说明发生除权除息等事项时的调整方式；</w:t>
      </w:r>
    </w:p>
    <w:p w14:paraId="071109A5">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（十三）</w:t>
      </w:r>
      <w:r>
        <w:rPr>
          <w:rFonts w:hint="eastAsia" w:ascii="Times New Roman" w:hAnsi="Times New Roman" w:eastAsia="宋体" w:cs="Times New Roman"/>
          <w:color w:val="000000" w:themeColor="text1"/>
          <w:sz w:val="24"/>
          <w:szCs w:val="24"/>
          <w14:textFill>
            <w14:solidFill>
              <w14:schemeClr w14:val="tx1"/>
            </w14:solidFill>
          </w14:textFill>
        </w:rPr>
        <w:t>上海证券交易所</w:t>
      </w:r>
      <w:r>
        <w:rPr>
          <w:rFonts w:ascii="Times New Roman" w:hAnsi="Times New Roman" w:eastAsia="宋体" w:cs="Times New Roman"/>
          <w:color w:val="000000" w:themeColor="text1"/>
          <w:sz w:val="24"/>
          <w:szCs w:val="24"/>
          <w14:textFill>
            <w14:solidFill>
              <w14:schemeClr w14:val="tx1"/>
            </w14:solidFill>
          </w14:textFill>
        </w:rPr>
        <w:t>要求的其他内容。</w:t>
      </w:r>
    </w:p>
    <w:p w14:paraId="327A5F07">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根据前款规定披露增持计划的，相关增持主体应当同时作出承诺，将在实施期限内完成增持计划。</w:t>
      </w:r>
    </w:p>
    <w:p w14:paraId="5587D85A">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bookmarkStart w:id="2" w:name="_Hlk200960280"/>
      <w:r>
        <w:rPr>
          <w:rFonts w:ascii="Times New Roman" w:hAnsi="Times New Roman" w:eastAsia="宋体" w:cs="Times New Roman"/>
          <w:b/>
          <w:color w:val="000000" w:themeColor="text1"/>
          <w:sz w:val="24"/>
          <w:szCs w:val="24"/>
          <w14:textFill>
            <w14:solidFill>
              <w14:schemeClr w14:val="tx1"/>
            </w14:solidFill>
          </w14:textFill>
        </w:rPr>
        <w:t>第二十条</w:t>
      </w:r>
      <w:r>
        <w:rPr>
          <w:rFonts w:ascii="Times New Roman" w:hAnsi="Times New Roman" w:eastAsia="宋体" w:cs="Times New Roman"/>
          <w:color w:val="000000" w:themeColor="text1"/>
          <w:sz w:val="24"/>
          <w:szCs w:val="24"/>
          <w14:textFill>
            <w14:solidFill>
              <w14:schemeClr w14:val="tx1"/>
            </w14:solidFill>
          </w14:textFill>
        </w:rPr>
        <w:t xml:space="preserve"> 相关增持主体披露股份增持计划后，在拟定的增持计划实施期限过半时，应当在事实发生之日通知公司，委托公司在次一交易日前披露增持股份进展公告。</w:t>
      </w:r>
    </w:p>
    <w:p w14:paraId="5783D6B3">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公告应当包括下列内容：</w:t>
      </w:r>
    </w:p>
    <w:p w14:paraId="77D08157">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（一）概述增持计划的基本情况；</w:t>
      </w:r>
    </w:p>
    <w:p w14:paraId="14FEF187">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（二）已增持股份的数量及比例、增持方式（如集中竞价、大宗交易等）；</w:t>
      </w:r>
    </w:p>
    <w:p w14:paraId="13847288">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（三）增持计划实施期限过半时仍未实施增持的，应当详细披露原因及后续安排；</w:t>
      </w:r>
    </w:p>
    <w:p w14:paraId="5B2A7E82">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（四）增持行为将严格遵守《证券法》《收购管理办法》等法律法规、</w:t>
      </w:r>
      <w:r>
        <w:rPr>
          <w:rFonts w:hint="eastAsia" w:ascii="Times New Roman" w:hAnsi="Times New Roman" w:eastAsia="宋体" w:cs="Times New Roman"/>
          <w:color w:val="000000" w:themeColor="text1"/>
          <w:sz w:val="24"/>
          <w:szCs w:val="24"/>
          <w14:textFill>
            <w14:solidFill>
              <w14:schemeClr w14:val="tx1"/>
            </w14:solidFill>
          </w14:textFill>
        </w:rPr>
        <w:t>上海证券交易所</w:t>
      </w:r>
      <w:r>
        <w:rPr>
          <w:rFonts w:ascii="Times New Roman" w:hAnsi="Times New Roman" w:eastAsia="宋体" w:cs="Times New Roman"/>
          <w:color w:val="000000" w:themeColor="text1"/>
          <w:sz w:val="24"/>
          <w:szCs w:val="24"/>
          <w14:textFill>
            <w14:solidFill>
              <w14:schemeClr w14:val="tx1"/>
            </w14:solidFill>
          </w14:textFill>
        </w:rPr>
        <w:t>相关规定的说明；</w:t>
      </w:r>
    </w:p>
    <w:p w14:paraId="4146D5E0">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（五）</w:t>
      </w:r>
      <w:r>
        <w:rPr>
          <w:rFonts w:hint="eastAsia" w:ascii="Times New Roman" w:hAnsi="Times New Roman" w:eastAsia="宋体" w:cs="Times New Roman"/>
          <w:color w:val="000000" w:themeColor="text1"/>
          <w:sz w:val="24"/>
          <w:szCs w:val="24"/>
          <w14:textFill>
            <w14:solidFill>
              <w14:schemeClr w14:val="tx1"/>
            </w14:solidFill>
          </w14:textFill>
        </w:rPr>
        <w:t>上海证券交易所</w:t>
      </w:r>
      <w:r>
        <w:rPr>
          <w:rFonts w:ascii="Times New Roman" w:hAnsi="Times New Roman" w:eastAsia="宋体" w:cs="Times New Roman"/>
          <w:color w:val="000000" w:themeColor="text1"/>
          <w:sz w:val="24"/>
          <w:szCs w:val="24"/>
          <w14:textFill>
            <w14:solidFill>
              <w14:schemeClr w14:val="tx1"/>
            </w14:solidFill>
          </w14:textFill>
        </w:rPr>
        <w:t>要求的其他内容。</w:t>
      </w:r>
      <w:bookmarkEnd w:id="2"/>
    </w:p>
    <w:p w14:paraId="2E7E15DA">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bookmarkStart w:id="3" w:name="_Hlk200960291"/>
      <w:r>
        <w:rPr>
          <w:rFonts w:ascii="Times New Roman" w:hAnsi="Times New Roman" w:eastAsia="宋体" w:cs="Times New Roman"/>
          <w:b/>
          <w:color w:val="000000" w:themeColor="text1"/>
          <w:sz w:val="24"/>
          <w:szCs w:val="24"/>
          <w14:textFill>
            <w14:solidFill>
              <w14:schemeClr w14:val="tx1"/>
            </w14:solidFill>
          </w14:textFill>
        </w:rPr>
        <w:t>第二十一条</w:t>
      </w:r>
      <w:r>
        <w:rPr>
          <w:rFonts w:ascii="Times New Roman" w:hAnsi="Times New Roman" w:eastAsia="宋体" w:cs="Times New Roman"/>
          <w:color w:val="000000" w:themeColor="text1"/>
          <w:sz w:val="24"/>
          <w:szCs w:val="24"/>
          <w14:textFill>
            <w14:solidFill>
              <w14:schemeClr w14:val="tx1"/>
            </w14:solidFill>
          </w14:textFill>
        </w:rPr>
        <w:t xml:space="preserve"> 公司按照规定发布定期报告时，相关增持主体的增持计划尚未实施完毕，或者实施期限尚未届满的，公司应当在定期报告中披露相关增持主体增持计划的实施情况。</w:t>
      </w:r>
      <w:bookmarkEnd w:id="3"/>
    </w:p>
    <w:p w14:paraId="52710850">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bookmarkStart w:id="4" w:name="_Hlk200960299"/>
      <w:r>
        <w:rPr>
          <w:rFonts w:ascii="Times New Roman" w:hAnsi="Times New Roman" w:eastAsia="宋体" w:cs="Times New Roman"/>
          <w:b/>
          <w:color w:val="000000" w:themeColor="text1"/>
          <w:sz w:val="24"/>
          <w:szCs w:val="24"/>
          <w14:textFill>
            <w14:solidFill>
              <w14:schemeClr w14:val="tx1"/>
            </w14:solidFill>
          </w14:textFill>
        </w:rPr>
        <w:t>第二十二条</w:t>
      </w:r>
      <w:r>
        <w:rPr>
          <w:rFonts w:ascii="Times New Roman" w:hAnsi="Times New Roman" w:eastAsia="宋体" w:cs="Times New Roman"/>
          <w:color w:val="000000" w:themeColor="text1"/>
          <w:sz w:val="24"/>
          <w:szCs w:val="24"/>
          <w14:textFill>
            <w14:solidFill>
              <w14:schemeClr w14:val="tx1"/>
            </w14:solidFill>
          </w14:textFill>
        </w:rPr>
        <w:t xml:space="preserve"> 公司董事、高级管理人员通过公司发布增持计划的，在相关增持计划实施完毕前，不得减持公司股份。</w:t>
      </w:r>
      <w:bookmarkEnd w:id="4"/>
    </w:p>
    <w:p w14:paraId="5926541C">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bookmarkStart w:id="5" w:name="_Hlk200960312"/>
      <w:r>
        <w:rPr>
          <w:rFonts w:ascii="Times New Roman" w:hAnsi="Times New Roman" w:eastAsia="宋体" w:cs="Times New Roman"/>
          <w:b/>
          <w:color w:val="000000" w:themeColor="text1"/>
          <w:sz w:val="24"/>
          <w:szCs w:val="24"/>
          <w14:textFill>
            <w14:solidFill>
              <w14:schemeClr w14:val="tx1"/>
            </w14:solidFill>
          </w14:textFill>
        </w:rPr>
        <w:t>第二十三条</w:t>
      </w:r>
      <w:r>
        <w:rPr>
          <w:rFonts w:ascii="Times New Roman" w:hAnsi="Times New Roman" w:eastAsia="宋体" w:cs="Times New Roman"/>
          <w:color w:val="000000" w:themeColor="text1"/>
          <w:sz w:val="24"/>
          <w:szCs w:val="24"/>
          <w14:textFill>
            <w14:solidFill>
              <w14:schemeClr w14:val="tx1"/>
            </w14:solidFill>
          </w14:textFill>
        </w:rPr>
        <w:t xml:space="preserve"> 公司董事、高级管理人员应当确保下列自然人、法人或者其他组织不从事因获知内幕信息而买卖本公司股份的行为：</w:t>
      </w:r>
    </w:p>
    <w:p w14:paraId="2E75A6B7">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（一）公司董事、高级管理人员的配偶、父母、子女、兄弟姐妹；</w:t>
      </w:r>
    </w:p>
    <w:p w14:paraId="72898D93">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（二）公司董事、高级管理人员控制的法人或者其他组织；</w:t>
      </w:r>
    </w:p>
    <w:p w14:paraId="7EF17A8C">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（三）中国证监会、</w:t>
      </w:r>
      <w:r>
        <w:rPr>
          <w:rFonts w:hint="eastAsia" w:ascii="Times New Roman" w:hAnsi="Times New Roman" w:eastAsia="宋体" w:cs="Times New Roman"/>
          <w:color w:val="000000" w:themeColor="text1"/>
          <w:sz w:val="24"/>
          <w:szCs w:val="24"/>
          <w14:textFill>
            <w14:solidFill>
              <w14:schemeClr w14:val="tx1"/>
            </w14:solidFill>
          </w14:textFill>
        </w:rPr>
        <w:t>上海证券交易所</w:t>
      </w:r>
      <w:r>
        <w:rPr>
          <w:rFonts w:ascii="Times New Roman" w:hAnsi="Times New Roman" w:eastAsia="宋体" w:cs="Times New Roman"/>
          <w:color w:val="000000" w:themeColor="text1"/>
          <w:sz w:val="24"/>
          <w:szCs w:val="24"/>
          <w14:textFill>
            <w14:solidFill>
              <w14:schemeClr w14:val="tx1"/>
            </w14:solidFill>
          </w14:textFill>
        </w:rPr>
        <w:t>或者公司根据实质重于形式的原则认定的其他与公司或者公司董事、高级管理人员有特殊关系，可能获知内幕信息的自然人、法人或者其他组织。</w:t>
      </w:r>
      <w:bookmarkEnd w:id="5"/>
    </w:p>
    <w:p w14:paraId="795CB144">
      <w:pPr>
        <w:spacing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pPr>
      <w:bookmarkStart w:id="6" w:name="_Hlk200960338"/>
      <w:r>
        <w:rPr>
          <w:rFonts w:ascii="Times New Roman" w:hAnsi="Times New Roman" w:eastAsia="宋体" w:cs="Times New Roman"/>
          <w:b/>
          <w:color w:val="000000" w:themeColor="text1"/>
          <w:sz w:val="24"/>
          <w:szCs w:val="24"/>
          <w14:textFill>
            <w14:solidFill>
              <w14:schemeClr w14:val="tx1"/>
            </w14:solidFill>
          </w14:textFill>
        </w:rPr>
        <w:t xml:space="preserve">第二十四条 </w:t>
      </w:r>
      <w:bookmarkEnd w:id="6"/>
      <w:r>
        <w:rPr>
          <w:rFonts w:ascii="Times New Roman" w:hAnsi="Times New Roman" w:eastAsia="宋体" w:cs="Times New Roman"/>
          <w:color w:val="000000" w:themeColor="text1"/>
          <w:sz w:val="24"/>
          <w:szCs w:val="24"/>
          <w14:textFill>
            <w14:solidFill>
              <w14:schemeClr w14:val="tx1"/>
            </w14:solidFill>
          </w14:textFill>
        </w:rPr>
        <w:t>公司股东因司法强制执行或者股票质押、融资融券、约定购回式证券交易违约处置等减持股份的，应当根据不同执行或者处置方式分别适用《第1</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5</w:t>
      </w:r>
      <w:r>
        <w:rPr>
          <w:rFonts w:ascii="Times New Roman" w:hAnsi="Times New Roman" w:eastAsia="宋体" w:cs="Times New Roman"/>
          <w:color w:val="000000" w:themeColor="text1"/>
          <w:sz w:val="24"/>
          <w:szCs w:val="24"/>
          <w14:textFill>
            <w14:solidFill>
              <w14:schemeClr w14:val="tx1"/>
            </w14:solidFill>
          </w14:textFill>
        </w:rPr>
        <w:t>号指引》的相关规定：</w:t>
      </w:r>
    </w:p>
    <w:p w14:paraId="740975BC">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（一）通过集中竞价交易方式执行的，适用《第1</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5</w:t>
      </w:r>
      <w:r>
        <w:rPr>
          <w:rFonts w:ascii="Times New Roman" w:hAnsi="Times New Roman" w:eastAsia="宋体" w:cs="Times New Roman"/>
          <w:color w:val="000000" w:themeColor="text1"/>
          <w:sz w:val="24"/>
          <w:szCs w:val="24"/>
          <w14:textFill>
            <w14:solidFill>
              <w14:schemeClr w14:val="tx1"/>
            </w14:solidFill>
          </w14:textFill>
        </w:rPr>
        <w:t>号指引》关于集中竞价交易减持的规定；</w:t>
      </w:r>
    </w:p>
    <w:p w14:paraId="29F6AD33">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（二）通过大宗交易方式执行的，适用《第1</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5</w:t>
      </w:r>
      <w:r>
        <w:rPr>
          <w:rFonts w:ascii="Times New Roman" w:hAnsi="Times New Roman" w:eastAsia="宋体" w:cs="Times New Roman"/>
          <w:color w:val="000000" w:themeColor="text1"/>
          <w:sz w:val="24"/>
          <w:szCs w:val="24"/>
          <w14:textFill>
            <w14:solidFill>
              <w14:schemeClr w14:val="tx1"/>
            </w14:solidFill>
          </w14:textFill>
        </w:rPr>
        <w:t>号指引》关于大宗交易减持的规定；</w:t>
      </w:r>
    </w:p>
    <w:p w14:paraId="775F59C3">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（三）通过司法扣划、划转等非交易过户方式执行的，参照适用《第1</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5</w:t>
      </w:r>
      <w:r>
        <w:rPr>
          <w:rFonts w:ascii="Times New Roman" w:hAnsi="Times New Roman" w:eastAsia="宋体" w:cs="Times New Roman"/>
          <w:color w:val="000000" w:themeColor="text1"/>
          <w:sz w:val="24"/>
          <w:szCs w:val="24"/>
          <w14:textFill>
            <w14:solidFill>
              <w14:schemeClr w14:val="tx1"/>
            </w14:solidFill>
          </w14:textFill>
        </w:rPr>
        <w:t>号指引》关于协议转让方式减持股份的规定，但《第1</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5</w:t>
      </w:r>
      <w:r>
        <w:rPr>
          <w:rFonts w:ascii="Times New Roman" w:hAnsi="Times New Roman" w:eastAsia="宋体" w:cs="Times New Roman"/>
          <w:color w:val="000000" w:themeColor="text1"/>
          <w:sz w:val="24"/>
          <w:szCs w:val="24"/>
          <w14:textFill>
            <w14:solidFill>
              <w14:schemeClr w14:val="tx1"/>
            </w14:solidFill>
          </w14:textFill>
        </w:rPr>
        <w:t>号指引》第十</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四</w:t>
      </w:r>
      <w:r>
        <w:rPr>
          <w:rFonts w:ascii="Times New Roman" w:hAnsi="Times New Roman" w:eastAsia="宋体" w:cs="Times New Roman"/>
          <w:color w:val="000000" w:themeColor="text1"/>
          <w:sz w:val="24"/>
          <w:szCs w:val="24"/>
          <w14:textFill>
            <w14:solidFill>
              <w14:schemeClr w14:val="tx1"/>
            </w14:solidFill>
          </w14:textFill>
        </w:rPr>
        <w:t>条第一款关于受让比例、转让价格下限的规定除外。</w:t>
      </w:r>
    </w:p>
    <w:p w14:paraId="51492783">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公司大股东、董事、高级管理人员应当在收到人民法院将通过</w:t>
      </w:r>
      <w:r>
        <w:rPr>
          <w:rFonts w:hint="eastAsia" w:ascii="Times New Roman" w:hAnsi="Times New Roman" w:eastAsia="宋体" w:cs="Times New Roman"/>
          <w:color w:val="000000" w:themeColor="text1"/>
          <w:sz w:val="24"/>
          <w:szCs w:val="24"/>
          <w14:textFill>
            <w14:solidFill>
              <w14:schemeClr w14:val="tx1"/>
            </w14:solidFill>
          </w14:textFill>
        </w:rPr>
        <w:t>上海证券交易所</w:t>
      </w:r>
      <w:r>
        <w:rPr>
          <w:rFonts w:ascii="Times New Roman" w:hAnsi="Times New Roman" w:eastAsia="宋体" w:cs="Times New Roman"/>
          <w:color w:val="000000" w:themeColor="text1"/>
          <w:sz w:val="24"/>
          <w:szCs w:val="24"/>
          <w14:textFill>
            <w14:solidFill>
              <w14:schemeClr w14:val="tx1"/>
            </w14:solidFill>
          </w14:textFill>
        </w:rPr>
        <w:t>集中竞价交易或者大宗交易方式处置其所持股份相关通知后两个交易日内披露相关公告，不适用《第1</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5</w:t>
      </w:r>
      <w:r>
        <w:rPr>
          <w:rFonts w:ascii="Times New Roman" w:hAnsi="Times New Roman" w:eastAsia="宋体" w:cs="Times New Roman"/>
          <w:color w:val="000000" w:themeColor="text1"/>
          <w:sz w:val="24"/>
          <w:szCs w:val="24"/>
          <w14:textFill>
            <w14:solidFill>
              <w14:schemeClr w14:val="tx1"/>
            </w14:solidFill>
          </w14:textFill>
        </w:rPr>
        <w:t>号指引》第十条第一款、第二款的规定。披露内容应当包括但不限于拟处置股份数量、来源、方式、时间区间等。</w:t>
      </w:r>
    </w:p>
    <w:p w14:paraId="0C577CD7">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bookmarkStart w:id="7" w:name="_Hlk200960354"/>
      <w:r>
        <w:rPr>
          <w:rFonts w:ascii="Times New Roman" w:hAnsi="Times New Roman" w:eastAsia="宋体" w:cs="Times New Roman"/>
          <w:b/>
          <w:color w:val="000000" w:themeColor="text1"/>
          <w:sz w:val="24"/>
          <w:szCs w:val="24"/>
          <w14:textFill>
            <w14:solidFill>
              <w14:schemeClr w14:val="tx1"/>
            </w14:solidFill>
          </w14:textFill>
        </w:rPr>
        <w:t>第二十五条</w:t>
      </w:r>
      <w:r>
        <w:rPr>
          <w:rFonts w:ascii="Times New Roman" w:hAnsi="Times New Roman" w:eastAsia="宋体" w:cs="Times New Roman"/>
          <w:color w:val="000000" w:themeColor="text1"/>
          <w:sz w:val="24"/>
          <w:szCs w:val="24"/>
          <w14:textFill>
            <w14:solidFill>
              <w14:schemeClr w14:val="tx1"/>
            </w14:solidFill>
          </w14:textFill>
        </w:rPr>
        <w:t xml:space="preserve"> 公司董事、高级管理人员违反《证券法》有关规定，将其所持本公司股票或者其他具有股权性质的证券在买入后六个月内卖出，或者在卖出后六个月内又买入的，公司董事会应当及时采取处理措施，核实相关人员违规买卖的情况、收益的金额等具体情况，并收回其所得收益。</w:t>
      </w:r>
    </w:p>
    <w:p w14:paraId="70231131">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前款所称董事、高级管理人员和自然人股东持有的股票或者其他具有股权性质的证券，包括其配偶、父母、子女持有的及利用他人账户持有的股票或者其他具有股权性质的证券。</w:t>
      </w:r>
      <w:bookmarkEnd w:id="7"/>
    </w:p>
    <w:p w14:paraId="7F71269B">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bookmarkStart w:id="8" w:name="_Hlk200960367"/>
      <w:r>
        <w:rPr>
          <w:rFonts w:ascii="Times New Roman" w:hAnsi="Times New Roman" w:eastAsia="宋体" w:cs="Times New Roman"/>
          <w:b/>
          <w:color w:val="000000" w:themeColor="text1"/>
          <w:sz w:val="24"/>
          <w:szCs w:val="24"/>
          <w14:textFill>
            <w14:solidFill>
              <w14:schemeClr w14:val="tx1"/>
            </w14:solidFill>
          </w14:textFill>
        </w:rPr>
        <w:t>第二十六条</w:t>
      </w:r>
      <w:r>
        <w:rPr>
          <w:rFonts w:ascii="Times New Roman" w:hAnsi="Times New Roman" w:eastAsia="宋体" w:cs="Times New Roman"/>
          <w:color w:val="000000" w:themeColor="text1"/>
          <w:sz w:val="24"/>
          <w:szCs w:val="24"/>
          <w14:textFill>
            <w14:solidFill>
              <w14:schemeClr w14:val="tx1"/>
            </w14:solidFill>
          </w14:textFill>
        </w:rPr>
        <w:t xml:space="preserve"> 公司董事和高级管理人员持有本公司股票及其变动比例达到《上市公司收购管理办法》规定时，应当按照《上市公司收购管理办法》等相关法律、行政法规、部门规章和业务规则的规定履行报告和披露等义务。</w:t>
      </w:r>
      <w:bookmarkEnd w:id="8"/>
    </w:p>
    <w:p w14:paraId="3AE93375">
      <w:pPr>
        <w:spacing w:before="156" w:beforeLines="50" w:after="156" w:afterLines="50" w:line="360" w:lineRule="auto"/>
        <w:jc w:val="center"/>
        <w:rPr>
          <w:rFonts w:ascii="Times New Roman" w:hAnsi="Times New Roman" w:eastAsia="宋体" w:cs="Times New Roman"/>
          <w:b/>
          <w:color w:val="000000" w:themeColor="text1"/>
          <w:sz w:val="24"/>
          <w:szCs w:val="24"/>
          <w14:textFill>
            <w14:solidFill>
              <w14:schemeClr w14:val="tx1"/>
            </w14:solidFill>
          </w14:textFill>
        </w:rPr>
      </w:pPr>
      <w:bookmarkStart w:id="9" w:name="_Hlk200960373"/>
      <w:r>
        <w:rPr>
          <w:rFonts w:ascii="Times New Roman" w:hAnsi="Times New Roman" w:eastAsia="宋体" w:cs="Times New Roman"/>
          <w:b/>
          <w:color w:val="000000" w:themeColor="text1"/>
          <w:sz w:val="24"/>
          <w:szCs w:val="24"/>
          <w14:textFill>
            <w14:solidFill>
              <w14:schemeClr w14:val="tx1"/>
            </w14:solidFill>
          </w14:textFill>
        </w:rPr>
        <w:t>第三章 附则</w:t>
      </w:r>
      <w:bookmarkEnd w:id="9"/>
    </w:p>
    <w:p w14:paraId="0DE98800">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color w:val="000000" w:themeColor="text1"/>
          <w:sz w:val="24"/>
          <w:szCs w:val="24"/>
          <w14:textFill>
            <w14:solidFill>
              <w14:schemeClr w14:val="tx1"/>
            </w14:solidFill>
          </w14:textFill>
        </w:rPr>
        <w:t>第二十七条</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sz w:val="24"/>
          <w:szCs w:val="24"/>
        </w:rPr>
        <w:t>本制度未尽事宜，按照国家有关法律、行政法规、部门规章、规范性文件和公司《章程》的规定执行。本制度如与国家日后颁布的法律、行政法规、部门规章、规范性文件或经合法程序修改后的公司《章程》相冲突，按新的规定执行，并及时对本制度进行修订。</w:t>
      </w:r>
    </w:p>
    <w:p w14:paraId="4E4FB941">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bookmarkStart w:id="10" w:name="_Hlk200960399"/>
      <w:r>
        <w:rPr>
          <w:rFonts w:ascii="Times New Roman" w:hAnsi="Times New Roman" w:eastAsia="宋体" w:cs="Times New Roman"/>
          <w:b/>
          <w:color w:val="000000" w:themeColor="text1"/>
          <w:sz w:val="24"/>
          <w:szCs w:val="24"/>
          <w14:textFill>
            <w14:solidFill>
              <w14:schemeClr w14:val="tx1"/>
            </w14:solidFill>
          </w14:textFill>
        </w:rPr>
        <w:t>第二十八条</w:t>
      </w:r>
      <w:r>
        <w:rPr>
          <w:rFonts w:ascii="Times New Roman" w:hAnsi="Times New Roman" w:eastAsia="宋体" w:cs="Times New Roman"/>
          <w:color w:val="000000" w:themeColor="text1"/>
          <w:sz w:val="24"/>
          <w:szCs w:val="24"/>
          <w14:textFill>
            <w14:solidFill>
              <w14:schemeClr w14:val="tx1"/>
            </w14:solidFill>
          </w14:textFill>
        </w:rPr>
        <w:t xml:space="preserve"> 本制度由公司董事会负责制定、解释和修改。本制度自公司董事会批准之日起实施。</w:t>
      </w:r>
      <w:bookmarkEnd w:id="10"/>
    </w:p>
    <w:p w14:paraId="5989A378">
      <w:pPr>
        <w:spacing w:line="360" w:lineRule="auto"/>
        <w:rPr>
          <w:rFonts w:ascii="Times New Roman" w:hAnsi="Times New Roman" w:eastAsia="宋体" w:cs="Times New Roman"/>
          <w:color w:val="000000" w:themeColor="text1"/>
          <w:sz w:val="24"/>
          <w:szCs w:val="24"/>
          <w14:textFill>
            <w14:solidFill>
              <w14:schemeClr w14:val="tx1"/>
            </w14:solidFill>
          </w14:textFill>
        </w:rPr>
      </w:pPr>
    </w:p>
    <w:p w14:paraId="760C6D12">
      <w:pPr>
        <w:spacing w:line="360" w:lineRule="auto"/>
        <w:rPr>
          <w:rFonts w:ascii="Times New Roman" w:hAnsi="Times New Roman" w:eastAsia="宋体" w:cs="Times New Roman"/>
          <w:color w:val="000000" w:themeColor="text1"/>
          <w:sz w:val="24"/>
          <w:szCs w:val="24"/>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3210891"/>
    </w:sdtPr>
    <w:sdtContent>
      <w:p w14:paraId="56F60216">
        <w:pPr>
          <w:pStyle w:val="4"/>
          <w:jc w:val="center"/>
        </w:pPr>
        <w:r>
          <w:fldChar w:fldCharType="begin"/>
        </w:r>
        <w:r>
          <w:instrText xml:space="preserve">PAGE   \* MERGEFORMAT</w:instrText>
        </w:r>
        <w:r>
          <w:fldChar w:fldCharType="separate"/>
        </w:r>
        <w:r>
          <w:rPr>
            <w:lang w:val="zh-CN"/>
          </w:rPr>
          <w:t>8</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58C"/>
    <w:rsid w:val="00074EDB"/>
    <w:rsid w:val="00137A5A"/>
    <w:rsid w:val="00235ACB"/>
    <w:rsid w:val="002C01C5"/>
    <w:rsid w:val="003B6242"/>
    <w:rsid w:val="00485DE4"/>
    <w:rsid w:val="005C23E9"/>
    <w:rsid w:val="00702371"/>
    <w:rsid w:val="00706D6C"/>
    <w:rsid w:val="00930345"/>
    <w:rsid w:val="00C3423B"/>
    <w:rsid w:val="00C74277"/>
    <w:rsid w:val="00CA7A42"/>
    <w:rsid w:val="00D8719C"/>
    <w:rsid w:val="00E3458C"/>
    <w:rsid w:val="00E67387"/>
    <w:rsid w:val="020509D7"/>
    <w:rsid w:val="1F4202D5"/>
    <w:rsid w:val="47CD474F"/>
    <w:rsid w:val="49BC7CE2"/>
    <w:rsid w:val="559A0F12"/>
    <w:rsid w:val="70336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unhideWhenUsed/>
    <w:qFormat/>
    <w:uiPriority w:val="99"/>
    <w:rPr>
      <w:sz w:val="20"/>
      <w:szCs w:val="20"/>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16"/>
      <w:szCs w:val="16"/>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文字 字符"/>
    <w:basedOn w:val="8"/>
    <w:link w:val="2"/>
    <w:qFormat/>
    <w:uiPriority w:val="99"/>
    <w:rPr>
      <w:sz w:val="20"/>
      <w:szCs w:val="20"/>
    </w:rPr>
  </w:style>
  <w:style w:type="character" w:customStyle="1" w:styleId="13">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5222</Words>
  <Characters>5230</Characters>
  <Lines>107</Lines>
  <Paragraphs>103</Paragraphs>
  <TotalTime>7</TotalTime>
  <ScaleCrop>false</ScaleCrop>
  <LinksUpToDate>false</LinksUpToDate>
  <CharactersWithSpaces>5265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2025-06-17T04:02:00Z</dcterms:created>
  <dc:creator>刘敏</dc:creator>
  <cp:lastModifiedBy>user</cp:lastModifiedBy>
  <dcterms:modified xsi:type="dcterms:W3CDTF">2025-10-13T07:59:31Z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eyJoZGlkIjoiYTM5NDJmNDY3MDc4NWQ0YWM5OWEyNTZkMTMxZGIyOTMiLCJ1c2VySWQiOiIyOTU5OTA1NDYifQ==</vt:lpwstr>
  </property>
  <property fmtid="{D5CDD505-2E9C-101B-9397-08002B2CF9AE}" pid="3" name="KSOProductBuildVer">
    <vt:lpwstr>2052-12.1.0.22529</vt:lpwstr>
  </property>
  <property fmtid="{D5CDD505-2E9C-101B-9397-08002B2CF9AE}" pid="4" name="ICV">
    <vt:lpwstr>DFF7E496229340DEB8B77B111C7CED62_13</vt:lpwstr>
  </property>
</Properties>
</file>